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5A3AE" w14:textId="7E2F14B5" w:rsidR="001D6112" w:rsidRPr="00483CF5" w:rsidRDefault="001D6112" w:rsidP="001D6112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  <w:r w:rsidRPr="00483CF5">
        <w:rPr>
          <w:rFonts w:eastAsia="Times New Roman" w:cstheme="minorHAnsi"/>
          <w:bCs/>
          <w:i/>
          <w:iCs/>
          <w:lang w:eastAsia="pl-PL"/>
        </w:rPr>
        <w:t>Załącznik do Uchwały Nr</w:t>
      </w:r>
      <w:r w:rsidR="004136EC">
        <w:rPr>
          <w:rFonts w:eastAsia="Times New Roman" w:cstheme="minorHAnsi"/>
          <w:bCs/>
          <w:i/>
          <w:iCs/>
          <w:lang w:eastAsia="pl-PL"/>
        </w:rPr>
        <w:t>28/2022</w:t>
      </w:r>
    </w:p>
    <w:p w14:paraId="1C04FF30" w14:textId="5B589AF9" w:rsidR="001D6112" w:rsidRPr="00483CF5" w:rsidRDefault="001D6112" w:rsidP="001D6112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  <w:r w:rsidRPr="00483CF5">
        <w:rPr>
          <w:rFonts w:eastAsia="Times New Roman" w:cstheme="minorHAnsi"/>
          <w:bCs/>
          <w:i/>
          <w:iCs/>
          <w:lang w:eastAsia="pl-PL"/>
        </w:rPr>
        <w:t xml:space="preserve">Zarządu Banku Spółdzielczego w </w:t>
      </w:r>
      <w:r w:rsidR="009F27F5" w:rsidRPr="00483CF5">
        <w:rPr>
          <w:rFonts w:eastAsia="Times New Roman" w:cstheme="minorHAnsi"/>
          <w:bCs/>
          <w:i/>
          <w:iCs/>
          <w:lang w:eastAsia="pl-PL"/>
        </w:rPr>
        <w:t>Legionowie</w:t>
      </w:r>
    </w:p>
    <w:p w14:paraId="06BE9807" w14:textId="03BDA255" w:rsidR="001D6112" w:rsidRDefault="001D6112" w:rsidP="001D6112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  <w:r w:rsidRPr="00483CF5">
        <w:rPr>
          <w:rFonts w:eastAsia="Times New Roman" w:cstheme="minorHAnsi"/>
          <w:bCs/>
          <w:i/>
          <w:iCs/>
          <w:lang w:eastAsia="pl-PL"/>
        </w:rPr>
        <w:t>z dnia</w:t>
      </w:r>
      <w:r w:rsidR="004136EC">
        <w:rPr>
          <w:rFonts w:eastAsia="Times New Roman" w:cstheme="minorHAnsi"/>
          <w:bCs/>
          <w:i/>
          <w:iCs/>
          <w:lang w:eastAsia="pl-PL"/>
        </w:rPr>
        <w:t>12.05.2022 r.</w:t>
      </w:r>
      <w:r w:rsidRPr="00483CF5">
        <w:rPr>
          <w:rFonts w:eastAsia="Times New Roman" w:cstheme="minorHAnsi"/>
          <w:bCs/>
          <w:i/>
          <w:iCs/>
          <w:lang w:eastAsia="pl-PL"/>
        </w:rPr>
        <w:t xml:space="preserve"> </w:t>
      </w:r>
    </w:p>
    <w:p w14:paraId="55FA722E" w14:textId="1306A20F" w:rsidR="00E05923" w:rsidRDefault="00E05923" w:rsidP="001D6112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  <w:r>
        <w:rPr>
          <w:rFonts w:eastAsia="Times New Roman" w:cstheme="minorHAnsi"/>
          <w:bCs/>
          <w:i/>
          <w:iCs/>
          <w:lang w:eastAsia="pl-PL"/>
        </w:rPr>
        <w:t>zm. Uchwałą nr 88/2024</w:t>
      </w:r>
    </w:p>
    <w:p w14:paraId="4325A94E" w14:textId="77777777" w:rsidR="00E05923" w:rsidRPr="00483CF5" w:rsidRDefault="00E05923" w:rsidP="00E05923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  <w:r w:rsidRPr="00483CF5">
        <w:rPr>
          <w:rFonts w:eastAsia="Times New Roman" w:cstheme="minorHAnsi"/>
          <w:bCs/>
          <w:i/>
          <w:iCs/>
          <w:lang w:eastAsia="pl-PL"/>
        </w:rPr>
        <w:t>Zarządu Banku Spółdzielczego w Legionowie</w:t>
      </w:r>
    </w:p>
    <w:p w14:paraId="16DCEFED" w14:textId="7F047190" w:rsidR="00E05923" w:rsidRDefault="00E05923" w:rsidP="00E05923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  <w:r w:rsidRPr="00483CF5">
        <w:rPr>
          <w:rFonts w:eastAsia="Times New Roman" w:cstheme="minorHAnsi"/>
          <w:bCs/>
          <w:i/>
          <w:iCs/>
          <w:lang w:eastAsia="pl-PL"/>
        </w:rPr>
        <w:t>z dnia</w:t>
      </w:r>
      <w:r>
        <w:rPr>
          <w:rFonts w:eastAsia="Times New Roman" w:cstheme="minorHAnsi"/>
          <w:bCs/>
          <w:i/>
          <w:iCs/>
          <w:lang w:eastAsia="pl-PL"/>
        </w:rPr>
        <w:t xml:space="preserve"> 29.08.2024 </w:t>
      </w:r>
      <w:r>
        <w:rPr>
          <w:rFonts w:eastAsia="Times New Roman" w:cstheme="minorHAnsi"/>
          <w:bCs/>
          <w:i/>
          <w:iCs/>
          <w:lang w:eastAsia="pl-PL"/>
        </w:rPr>
        <w:t>r.</w:t>
      </w:r>
      <w:r w:rsidRPr="00483CF5">
        <w:rPr>
          <w:rFonts w:eastAsia="Times New Roman" w:cstheme="minorHAnsi"/>
          <w:bCs/>
          <w:i/>
          <w:iCs/>
          <w:lang w:eastAsia="pl-PL"/>
        </w:rPr>
        <w:t xml:space="preserve"> </w:t>
      </w:r>
    </w:p>
    <w:p w14:paraId="58DAFD60" w14:textId="5363D8FC" w:rsidR="001D6112" w:rsidRPr="00483CF5" w:rsidRDefault="001D6112" w:rsidP="00E05923">
      <w:pPr>
        <w:suppressAutoHyphens/>
        <w:spacing w:after="0" w:line="240" w:lineRule="auto"/>
        <w:rPr>
          <w:rFonts w:eastAsia="Times New Roman" w:cstheme="minorHAnsi"/>
          <w:bCs/>
          <w:i/>
          <w:iCs/>
          <w:lang w:eastAsia="pl-PL"/>
        </w:rPr>
      </w:pPr>
    </w:p>
    <w:p w14:paraId="172E6388" w14:textId="084578EF" w:rsidR="009F27F5" w:rsidRPr="00483CF5" w:rsidRDefault="009F27F5" w:rsidP="009F27F5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  <w:r w:rsidRPr="00483CF5">
        <w:rPr>
          <w:rFonts w:eastAsia="Times New Roman" w:cstheme="minorHAnsi"/>
          <w:bCs/>
          <w:i/>
          <w:iCs/>
          <w:lang w:eastAsia="pl-PL"/>
        </w:rPr>
        <w:t>Załącznik do Uchwały Nr</w:t>
      </w:r>
      <w:r w:rsidR="004136EC">
        <w:rPr>
          <w:rFonts w:eastAsia="Times New Roman" w:cstheme="minorHAnsi"/>
          <w:bCs/>
          <w:i/>
          <w:iCs/>
          <w:lang w:eastAsia="pl-PL"/>
        </w:rPr>
        <w:t>20/2022</w:t>
      </w:r>
    </w:p>
    <w:p w14:paraId="30938FEC" w14:textId="7E6273ED" w:rsidR="009F27F5" w:rsidRDefault="009F27F5" w:rsidP="009F27F5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  <w:r w:rsidRPr="00483CF5">
        <w:rPr>
          <w:rFonts w:eastAsia="Times New Roman" w:cstheme="minorHAnsi"/>
          <w:bCs/>
          <w:i/>
          <w:iCs/>
          <w:lang w:eastAsia="pl-PL"/>
        </w:rPr>
        <w:t xml:space="preserve">Rady Nadzorczej  Banku Spółdzielczego w Legionowie z dnia </w:t>
      </w:r>
      <w:r w:rsidR="004136EC">
        <w:rPr>
          <w:rFonts w:eastAsia="Times New Roman" w:cstheme="minorHAnsi"/>
          <w:bCs/>
          <w:i/>
          <w:iCs/>
          <w:lang w:eastAsia="pl-PL"/>
        </w:rPr>
        <w:t>19.05.2022 r.</w:t>
      </w:r>
    </w:p>
    <w:p w14:paraId="6DDA4676" w14:textId="61892A56" w:rsidR="00E05923" w:rsidRDefault="00E05923" w:rsidP="009F27F5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  <w:r>
        <w:rPr>
          <w:rFonts w:eastAsia="Times New Roman" w:cstheme="minorHAnsi"/>
          <w:bCs/>
          <w:i/>
          <w:iCs/>
          <w:lang w:eastAsia="pl-PL"/>
        </w:rPr>
        <w:t>zm. Uchwałą nr 27/2024</w:t>
      </w:r>
    </w:p>
    <w:p w14:paraId="6E486DEF" w14:textId="7B18D31A" w:rsidR="00E05923" w:rsidRDefault="00E05923" w:rsidP="00E05923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  <w:r w:rsidRPr="00483CF5">
        <w:rPr>
          <w:rFonts w:eastAsia="Times New Roman" w:cstheme="minorHAnsi"/>
          <w:bCs/>
          <w:i/>
          <w:iCs/>
          <w:lang w:eastAsia="pl-PL"/>
        </w:rPr>
        <w:t xml:space="preserve">Rady Nadzorczej  Banku Spółdzielczego w Legionowie z dnia </w:t>
      </w:r>
      <w:r>
        <w:rPr>
          <w:rFonts w:eastAsia="Times New Roman" w:cstheme="minorHAnsi"/>
          <w:bCs/>
          <w:i/>
          <w:iCs/>
          <w:lang w:eastAsia="pl-PL"/>
        </w:rPr>
        <w:t>10.09.2024 r.</w:t>
      </w:r>
    </w:p>
    <w:p w14:paraId="76538178" w14:textId="39D1FF3F" w:rsidR="00E05923" w:rsidRPr="00483CF5" w:rsidRDefault="00E05923" w:rsidP="009F27F5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</w:p>
    <w:p w14:paraId="24BFD576" w14:textId="26F69FC0" w:rsidR="008D2213" w:rsidRPr="00483CF5" w:rsidRDefault="008D2213" w:rsidP="00E05923">
      <w:pPr>
        <w:suppressAutoHyphens/>
        <w:spacing w:after="0" w:line="240" w:lineRule="auto"/>
        <w:rPr>
          <w:rFonts w:eastAsia="Times New Roman" w:cstheme="minorHAnsi"/>
          <w:bCs/>
          <w:i/>
          <w:iCs/>
          <w:lang w:eastAsia="pl-PL"/>
        </w:rPr>
      </w:pPr>
    </w:p>
    <w:p w14:paraId="14355180" w14:textId="5C845BB6" w:rsidR="009F27F5" w:rsidRPr="00483CF5" w:rsidRDefault="009F27F5" w:rsidP="001D6112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</w:p>
    <w:p w14:paraId="5CBF4881" w14:textId="314D7294" w:rsidR="009F27F5" w:rsidRPr="00483CF5" w:rsidRDefault="009F27F5" w:rsidP="001D6112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</w:p>
    <w:p w14:paraId="033158F5" w14:textId="77777777" w:rsidR="009F27F5" w:rsidRPr="00483CF5" w:rsidRDefault="009F27F5" w:rsidP="001D6112">
      <w:pPr>
        <w:suppressAutoHyphens/>
        <w:spacing w:after="0" w:line="240" w:lineRule="auto"/>
        <w:ind w:left="4525"/>
        <w:rPr>
          <w:rFonts w:eastAsia="Times New Roman" w:cstheme="minorHAnsi"/>
          <w:bCs/>
          <w:i/>
          <w:iCs/>
          <w:lang w:eastAsia="pl-PL"/>
        </w:rPr>
      </w:pPr>
    </w:p>
    <w:p w14:paraId="62CBBFB7" w14:textId="28446D0F" w:rsidR="001D6112" w:rsidRPr="00483CF5" w:rsidRDefault="009F27F5" w:rsidP="001D6112">
      <w:pPr>
        <w:spacing w:after="0" w:line="240" w:lineRule="auto"/>
        <w:jc w:val="center"/>
        <w:rPr>
          <w:rFonts w:eastAsia="Times New Roman" w:cstheme="minorHAnsi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3CF5">
        <w:rPr>
          <w:rFonts w:eastAsia="Calibri" w:cstheme="minorHAnsi"/>
          <w:noProof/>
          <w:lang w:eastAsia="pl-PL"/>
        </w:rPr>
        <w:drawing>
          <wp:inline distT="0" distB="0" distL="0" distR="0" wp14:anchorId="6418A759" wp14:editId="20D8E570">
            <wp:extent cx="2238375" cy="21240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6C57E" w14:textId="77777777" w:rsidR="001D6112" w:rsidRPr="00483CF5" w:rsidRDefault="001D6112" w:rsidP="001D6112">
      <w:pPr>
        <w:spacing w:after="0" w:line="240" w:lineRule="auto"/>
        <w:jc w:val="center"/>
        <w:rPr>
          <w:rFonts w:eastAsia="Times New Roman" w:cstheme="minorHAnsi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534FD5" w14:textId="77777777" w:rsidR="001D6112" w:rsidRPr="003B7FA4" w:rsidRDefault="001D6112" w:rsidP="001D6112">
      <w:pPr>
        <w:spacing w:after="0" w:line="288" w:lineRule="auto"/>
        <w:rPr>
          <w:rFonts w:eastAsia="Times New Roman" w:cstheme="minorHAnsi"/>
          <w:b/>
          <w:kern w:val="144"/>
          <w:sz w:val="24"/>
          <w:szCs w:val="24"/>
          <w:lang w:val="x-none" w:eastAsia="x-none"/>
        </w:rPr>
      </w:pPr>
    </w:p>
    <w:p w14:paraId="39050042" w14:textId="77777777" w:rsidR="001D034F" w:rsidRPr="00D40593" w:rsidRDefault="001D6112" w:rsidP="001D6112">
      <w:pPr>
        <w:spacing w:after="0" w:line="288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D40593">
        <w:rPr>
          <w:rFonts w:eastAsia="Times New Roman" w:cstheme="minorHAnsi"/>
          <w:b/>
          <w:sz w:val="32"/>
          <w:szCs w:val="32"/>
          <w:lang w:eastAsia="pl-PL"/>
        </w:rPr>
        <w:t xml:space="preserve">Polityka wynagrodzeń </w:t>
      </w:r>
    </w:p>
    <w:p w14:paraId="11C2359A" w14:textId="4AE3BF5D" w:rsidR="009F27F5" w:rsidRPr="00D40593" w:rsidRDefault="001D6112" w:rsidP="00CB26C0">
      <w:pPr>
        <w:spacing w:after="0" w:line="288" w:lineRule="auto"/>
        <w:jc w:val="center"/>
        <w:rPr>
          <w:rFonts w:eastAsia="Times New Roman" w:cstheme="minorHAnsi"/>
          <w:sz w:val="32"/>
          <w:szCs w:val="32"/>
          <w:lang w:eastAsia="pl-PL"/>
        </w:rPr>
      </w:pPr>
      <w:r w:rsidRPr="00D40593">
        <w:rPr>
          <w:rFonts w:eastAsia="Times New Roman" w:cstheme="minorHAnsi"/>
          <w:b/>
          <w:sz w:val="32"/>
          <w:szCs w:val="32"/>
          <w:lang w:eastAsia="pl-PL"/>
        </w:rPr>
        <w:t>Banku Spółdzielczego</w:t>
      </w:r>
      <w:r w:rsidR="001D034F">
        <w:rPr>
          <w:rFonts w:eastAsia="Times New Roman" w:cstheme="minorHAnsi"/>
          <w:b/>
          <w:sz w:val="32"/>
          <w:szCs w:val="32"/>
          <w:lang w:eastAsia="pl-PL"/>
        </w:rPr>
        <w:t xml:space="preserve"> </w:t>
      </w:r>
      <w:r w:rsidR="009F27F5" w:rsidRPr="00D40593">
        <w:rPr>
          <w:rFonts w:eastAsia="Times New Roman" w:cstheme="minorHAnsi"/>
          <w:b/>
          <w:sz w:val="32"/>
          <w:szCs w:val="32"/>
          <w:lang w:eastAsia="pl-PL"/>
        </w:rPr>
        <w:t>w Legionowie</w:t>
      </w:r>
    </w:p>
    <w:p w14:paraId="433FAF90" w14:textId="77777777" w:rsidR="001D6112" w:rsidRPr="00483CF5" w:rsidRDefault="001D6112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7D3F1228" w14:textId="77777777" w:rsidR="001D6112" w:rsidRPr="00483CF5" w:rsidRDefault="001D6112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77A8897B" w14:textId="3B3717A7" w:rsidR="001D6112" w:rsidRPr="00483CF5" w:rsidRDefault="001D6112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4B9330F1" w14:textId="37BEEEEA" w:rsidR="009F27F5" w:rsidRPr="00483CF5" w:rsidRDefault="009F27F5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32E04FB0" w14:textId="625DF41E" w:rsidR="009F27F5" w:rsidRPr="00483CF5" w:rsidRDefault="009F27F5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496B134A" w14:textId="2BCFE968" w:rsidR="009F27F5" w:rsidRPr="00483CF5" w:rsidRDefault="009F27F5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623A075B" w14:textId="67392052" w:rsidR="009F27F5" w:rsidRPr="00483CF5" w:rsidRDefault="009F27F5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1599EA12" w14:textId="4CB566D1" w:rsidR="009F27F5" w:rsidRPr="00483CF5" w:rsidRDefault="009F27F5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66363531" w14:textId="48A38DC3" w:rsidR="009F27F5" w:rsidRPr="00483CF5" w:rsidRDefault="009F27F5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4582606F" w14:textId="35BA600F" w:rsidR="009F27F5" w:rsidRPr="00483CF5" w:rsidRDefault="009F27F5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3B290111" w14:textId="77777777" w:rsidR="001D034F" w:rsidRPr="00483CF5" w:rsidRDefault="001D034F" w:rsidP="001D6112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694AB7F7" w14:textId="74A90AC7" w:rsidR="001D6112" w:rsidRPr="00483CF5" w:rsidRDefault="009F27F5" w:rsidP="00D40593">
      <w:pPr>
        <w:pBdr>
          <w:top w:val="single" w:sz="4" w:space="1" w:color="auto"/>
        </w:pBdr>
        <w:spacing w:after="120" w:line="240" w:lineRule="auto"/>
        <w:jc w:val="center"/>
        <w:rPr>
          <w:rFonts w:eastAsia="Times New Roman" w:cstheme="minorHAnsi"/>
          <w:lang w:eastAsia="pl-PL"/>
        </w:rPr>
      </w:pPr>
      <w:r w:rsidRPr="00483CF5">
        <w:rPr>
          <w:rFonts w:eastAsia="Times New Roman" w:cstheme="minorHAnsi"/>
          <w:lang w:eastAsia="pl-PL"/>
        </w:rPr>
        <w:t>Legionowo</w:t>
      </w:r>
      <w:r w:rsidR="001D6112" w:rsidRPr="00483CF5">
        <w:rPr>
          <w:rFonts w:eastAsia="Times New Roman" w:cstheme="minorHAnsi"/>
          <w:lang w:eastAsia="pl-PL"/>
        </w:rPr>
        <w:t>, 20</w:t>
      </w:r>
      <w:r w:rsidRPr="00483CF5">
        <w:rPr>
          <w:rFonts w:eastAsia="Times New Roman" w:cstheme="minorHAnsi"/>
          <w:lang w:eastAsia="pl-PL"/>
        </w:rPr>
        <w:t xml:space="preserve">22 </w:t>
      </w:r>
      <w:r w:rsidR="001D6112" w:rsidRPr="00483CF5">
        <w:rPr>
          <w:rFonts w:eastAsia="Times New Roman" w:cstheme="minorHAnsi"/>
          <w:lang w:eastAsia="pl-PL"/>
        </w:rPr>
        <w:t>rok</w:t>
      </w:r>
    </w:p>
    <w:p w14:paraId="3A7DFBDC" w14:textId="77777777" w:rsidR="0034370F" w:rsidRPr="00483CF5" w:rsidRDefault="001D6112" w:rsidP="0034370F">
      <w:pPr>
        <w:spacing w:before="120" w:after="120"/>
        <w:jc w:val="center"/>
        <w:rPr>
          <w:rFonts w:eastAsia="Times New Roman" w:cstheme="minorHAnsi"/>
          <w:b/>
          <w:lang w:eastAsia="pl-PL"/>
        </w:rPr>
      </w:pPr>
      <w:r w:rsidRPr="00483CF5">
        <w:rPr>
          <w:rFonts w:cstheme="minorHAnsi"/>
        </w:rPr>
        <w:br w:type="page"/>
      </w:r>
      <w:r w:rsidR="0034370F" w:rsidRPr="00483CF5">
        <w:rPr>
          <w:rFonts w:eastAsia="Times New Roman" w:cstheme="minorHAnsi"/>
          <w:b/>
          <w:lang w:eastAsia="pl-PL"/>
        </w:rPr>
        <w:lastRenderedPageBreak/>
        <w:t>Metryka regulacji</w:t>
      </w:r>
    </w:p>
    <w:p w14:paraId="0E33F839" w14:textId="77777777" w:rsidR="0034370F" w:rsidRPr="00483CF5" w:rsidRDefault="0034370F" w:rsidP="0034370F">
      <w:pPr>
        <w:snapToGrid w:val="0"/>
        <w:spacing w:before="120" w:after="60" w:line="240" w:lineRule="auto"/>
        <w:jc w:val="both"/>
        <w:rPr>
          <w:rFonts w:eastAsia="Times New Roman" w:cstheme="minorHAnsi"/>
          <w:b/>
          <w:lang w:eastAsia="pl-PL"/>
        </w:rPr>
      </w:pPr>
    </w:p>
    <w:p w14:paraId="7AC65940" w14:textId="77777777" w:rsidR="0034370F" w:rsidRPr="00483CF5" w:rsidRDefault="0034370F" w:rsidP="0034370F">
      <w:pPr>
        <w:snapToGrid w:val="0"/>
        <w:spacing w:before="12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483CF5">
        <w:rPr>
          <w:rFonts w:eastAsia="Times New Roman" w:cstheme="minorHAnsi"/>
          <w:b/>
          <w:lang w:eastAsia="pl-PL"/>
        </w:rPr>
        <w:t>Podstawowe dane regulacji</w:t>
      </w:r>
    </w:p>
    <w:tbl>
      <w:tblPr>
        <w:tblW w:w="9315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0"/>
        <w:gridCol w:w="6305"/>
      </w:tblGrid>
      <w:tr w:rsidR="0034370F" w:rsidRPr="00483CF5" w14:paraId="735A5AB3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5AF572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color w:val="00000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color w:val="000000"/>
                <w:lang w:eastAsia="pl-PL"/>
              </w:rPr>
              <w:t>Właściciel dokumentu: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86E05F" w14:textId="208C9218" w:rsidR="0034370F" w:rsidRPr="00483CF5" w:rsidRDefault="00496AE5" w:rsidP="0034370F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lang w:eastAsia="pl-PL"/>
              </w:rPr>
            </w:pPr>
            <w:r w:rsidRPr="00483CF5">
              <w:rPr>
                <w:rFonts w:eastAsia="Times New Roman" w:cstheme="minorHAnsi"/>
                <w:bCs/>
                <w:snapToGrid w:val="0"/>
                <w:lang w:eastAsia="pl-PL"/>
              </w:rPr>
              <w:t>Zarząd</w:t>
            </w:r>
          </w:p>
        </w:tc>
      </w:tr>
      <w:tr w:rsidR="0034370F" w:rsidRPr="00483CF5" w14:paraId="4699207C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567C16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lang w:eastAsia="pl-PL"/>
              </w:rPr>
              <w:t>Pełna nazwa dokumentu: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E349F5" w14:textId="0BF2025E" w:rsidR="0034370F" w:rsidRPr="00483CF5" w:rsidRDefault="0034370F" w:rsidP="0034370F">
            <w:pPr>
              <w:spacing w:after="0" w:line="240" w:lineRule="auto"/>
              <w:ind w:left="17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483CF5">
              <w:rPr>
                <w:rFonts w:eastAsia="Times New Roman" w:cstheme="minorHAnsi"/>
                <w:bCs/>
                <w:lang w:eastAsia="pl-PL"/>
              </w:rPr>
              <w:t xml:space="preserve">Polityka </w:t>
            </w:r>
            <w:r w:rsidR="00496AE5" w:rsidRPr="00483CF5">
              <w:rPr>
                <w:rFonts w:eastAsia="Times New Roman" w:cstheme="minorHAnsi"/>
                <w:bCs/>
                <w:lang w:eastAsia="pl-PL"/>
              </w:rPr>
              <w:t>wynagrodzeń</w:t>
            </w:r>
            <w:r w:rsidRPr="00483CF5">
              <w:rPr>
                <w:rFonts w:eastAsia="Times New Roman" w:cstheme="minorHAnsi"/>
                <w:bCs/>
                <w:lang w:eastAsia="pl-PL"/>
              </w:rPr>
              <w:t xml:space="preserve"> Banku Spółdzielczego w Legionowie</w:t>
            </w:r>
          </w:p>
        </w:tc>
      </w:tr>
      <w:tr w:rsidR="0034370F" w:rsidRPr="00483CF5" w14:paraId="6F536262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7FFEC6" w14:textId="77777777" w:rsidR="0034370F" w:rsidRPr="00C85BAC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lang w:eastAsia="pl-PL"/>
              </w:rPr>
            </w:pPr>
            <w:r w:rsidRPr="00C85BAC">
              <w:rPr>
                <w:rFonts w:eastAsia="Times New Roman" w:cstheme="minorHAnsi"/>
                <w:snapToGrid w:val="0"/>
                <w:lang w:eastAsia="pl-PL"/>
              </w:rPr>
              <w:t>Nr uchwały i data wydania: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DE7F0" w14:textId="7E0EE56A" w:rsidR="0034370F" w:rsidRPr="00C85BAC" w:rsidRDefault="0034370F" w:rsidP="0034370F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lang w:eastAsia="pl-PL"/>
              </w:rPr>
            </w:pPr>
            <w:r w:rsidRPr="00C85BAC">
              <w:rPr>
                <w:rFonts w:eastAsia="Times New Roman" w:cstheme="minorHAnsi"/>
                <w:bCs/>
                <w:snapToGrid w:val="0"/>
                <w:lang w:eastAsia="pl-PL"/>
              </w:rPr>
              <w:t>Uchwała Zarządu Nr</w:t>
            </w:r>
            <w:r w:rsidR="00E05923">
              <w:rPr>
                <w:rFonts w:eastAsia="Times New Roman" w:cstheme="minorHAnsi"/>
                <w:bCs/>
                <w:snapToGrid w:val="0"/>
                <w:lang w:eastAsia="pl-PL"/>
              </w:rPr>
              <w:t xml:space="preserve"> 88/2024 z dn. 29.08.2024 </w:t>
            </w:r>
            <w:r w:rsidRPr="00C85BAC">
              <w:rPr>
                <w:rFonts w:eastAsia="Times New Roman" w:cstheme="minorHAnsi"/>
                <w:bCs/>
                <w:snapToGrid w:val="0"/>
                <w:lang w:eastAsia="pl-PL"/>
              </w:rPr>
              <w:t>r.</w:t>
            </w:r>
            <w:r w:rsidR="001D034F" w:rsidRPr="00C85BAC">
              <w:rPr>
                <w:rFonts w:eastAsia="Times New Roman" w:cstheme="minorHAnsi"/>
                <w:bCs/>
                <w:snapToGrid w:val="0"/>
                <w:lang w:eastAsia="pl-PL"/>
              </w:rPr>
              <w:t>,</w:t>
            </w:r>
          </w:p>
          <w:p w14:paraId="4597E5B0" w14:textId="31A65704" w:rsidR="0034370F" w:rsidRPr="00C85BAC" w:rsidRDefault="0034370F" w:rsidP="004136EC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lang w:eastAsia="pl-PL"/>
              </w:rPr>
            </w:pPr>
            <w:r w:rsidRPr="00C85BAC">
              <w:rPr>
                <w:rFonts w:eastAsia="Times New Roman" w:cstheme="minorHAnsi"/>
                <w:bCs/>
                <w:snapToGrid w:val="0"/>
                <w:lang w:eastAsia="pl-PL"/>
              </w:rPr>
              <w:t xml:space="preserve">Uchwała Rady Nadzorczej Nr </w:t>
            </w:r>
            <w:r w:rsidR="00E05923">
              <w:rPr>
                <w:rFonts w:eastAsia="Times New Roman" w:cstheme="minorHAnsi"/>
                <w:bCs/>
                <w:snapToGrid w:val="0"/>
                <w:lang w:eastAsia="pl-PL"/>
              </w:rPr>
              <w:t>27/2024 z dn. 10.09.2024</w:t>
            </w:r>
            <w:r w:rsidRPr="00C85BAC">
              <w:rPr>
                <w:rFonts w:eastAsia="Times New Roman" w:cstheme="minorHAnsi"/>
                <w:bCs/>
                <w:snapToGrid w:val="0"/>
                <w:lang w:eastAsia="pl-PL"/>
              </w:rPr>
              <w:t xml:space="preserve"> r.</w:t>
            </w:r>
          </w:p>
        </w:tc>
      </w:tr>
      <w:tr w:rsidR="0034370F" w:rsidRPr="00483CF5" w14:paraId="12E17299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F23472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lang w:eastAsia="pl-PL"/>
              </w:rPr>
              <w:t>Data obowiązywania: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D2FA85" w14:textId="08DAA3DD" w:rsidR="0034370F" w:rsidRPr="00483CF5" w:rsidRDefault="001450B6" w:rsidP="0034370F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lang w:eastAsia="pl-PL"/>
              </w:rPr>
            </w:pPr>
            <w:r w:rsidRPr="00483CF5">
              <w:rPr>
                <w:rFonts w:eastAsia="Times New Roman" w:cstheme="minorHAnsi"/>
                <w:bCs/>
                <w:snapToGrid w:val="0"/>
                <w:lang w:eastAsia="pl-PL"/>
              </w:rPr>
              <w:t>Od dnia zatwierdzenia przez Radę Nadzorczą</w:t>
            </w:r>
          </w:p>
        </w:tc>
      </w:tr>
      <w:tr w:rsidR="0034370F" w:rsidRPr="00483CF5" w14:paraId="3CCFEE65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F6067C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lang w:eastAsia="pl-PL"/>
              </w:rPr>
              <w:t>Uchyla: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971366" w14:textId="243B983D" w:rsidR="0034370F" w:rsidRPr="00483CF5" w:rsidRDefault="00E05923" w:rsidP="004136EC">
            <w:pPr>
              <w:spacing w:after="0" w:line="240" w:lineRule="auto"/>
              <w:ind w:left="19"/>
              <w:rPr>
                <w:rFonts w:eastAsia="Times New Roman" w:cstheme="minorHAnsi"/>
                <w:bCs/>
                <w:snapToGrid w:val="0"/>
                <w:lang w:eastAsia="pl-PL"/>
              </w:rPr>
            </w:pPr>
            <w:r>
              <w:rPr>
                <w:rFonts w:eastAsia="Times New Roman" w:cstheme="minorHAnsi"/>
                <w:bCs/>
                <w:snapToGrid w:val="0"/>
                <w:lang w:eastAsia="pl-PL"/>
              </w:rPr>
              <w:t>---------</w:t>
            </w:r>
          </w:p>
        </w:tc>
      </w:tr>
      <w:tr w:rsidR="008D2213" w:rsidRPr="00483CF5" w14:paraId="37505AA9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F97754" w14:textId="77777777" w:rsidR="008D2213" w:rsidRPr="00483CF5" w:rsidRDefault="008D2213" w:rsidP="008D2213">
            <w:pPr>
              <w:spacing w:after="0" w:line="240" w:lineRule="auto"/>
              <w:rPr>
                <w:rFonts w:eastAsia="Times New Roman" w:cstheme="minorHAnsi"/>
                <w:snapToGrid w:val="0"/>
                <w:color w:val="00000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color w:val="000000"/>
                <w:lang w:eastAsia="pl-PL"/>
              </w:rPr>
              <w:t>Zmienia: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0B9042" w14:textId="1B9EFFC5" w:rsidR="008D2213" w:rsidRPr="00C85BAC" w:rsidRDefault="008D2213" w:rsidP="008D2213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lang w:eastAsia="pl-PL"/>
              </w:rPr>
            </w:pPr>
            <w:r w:rsidRPr="00C85BAC">
              <w:rPr>
                <w:rFonts w:eastAsia="Times New Roman" w:cstheme="minorHAnsi"/>
                <w:bCs/>
                <w:snapToGrid w:val="0"/>
                <w:lang w:eastAsia="pl-PL"/>
              </w:rPr>
              <w:t>Uchwał</w:t>
            </w:r>
            <w:r>
              <w:rPr>
                <w:rFonts w:eastAsia="Times New Roman" w:cstheme="minorHAnsi"/>
                <w:bCs/>
                <w:snapToGrid w:val="0"/>
                <w:lang w:eastAsia="pl-PL"/>
              </w:rPr>
              <w:t>ę</w:t>
            </w:r>
            <w:r w:rsidRPr="00C85BAC">
              <w:rPr>
                <w:rFonts w:eastAsia="Times New Roman" w:cstheme="minorHAnsi"/>
                <w:bCs/>
                <w:snapToGrid w:val="0"/>
                <w:lang w:eastAsia="pl-PL"/>
              </w:rPr>
              <w:t xml:space="preserve"> Zarządu Nr 28/2022 z 12.05.2022 r.,</w:t>
            </w:r>
          </w:p>
          <w:p w14:paraId="706394CC" w14:textId="27812C15" w:rsidR="008D2213" w:rsidRPr="00483CF5" w:rsidRDefault="008D2213" w:rsidP="008D2213">
            <w:pPr>
              <w:spacing w:after="0" w:line="240" w:lineRule="auto"/>
              <w:ind w:left="19"/>
              <w:rPr>
                <w:rFonts w:eastAsia="Times New Roman" w:cstheme="minorHAnsi"/>
                <w:bCs/>
                <w:lang w:eastAsia="pl-PL"/>
              </w:rPr>
            </w:pPr>
            <w:r w:rsidRPr="00C85BAC">
              <w:rPr>
                <w:rFonts w:eastAsia="Times New Roman" w:cstheme="minorHAnsi"/>
                <w:bCs/>
                <w:snapToGrid w:val="0"/>
                <w:lang w:eastAsia="pl-PL"/>
              </w:rPr>
              <w:t>Uchwał</w:t>
            </w:r>
            <w:r>
              <w:rPr>
                <w:rFonts w:eastAsia="Times New Roman" w:cstheme="minorHAnsi"/>
                <w:bCs/>
                <w:snapToGrid w:val="0"/>
                <w:lang w:eastAsia="pl-PL"/>
              </w:rPr>
              <w:t>ę</w:t>
            </w:r>
            <w:r w:rsidRPr="00C85BAC">
              <w:rPr>
                <w:rFonts w:eastAsia="Times New Roman" w:cstheme="minorHAnsi"/>
                <w:bCs/>
                <w:snapToGrid w:val="0"/>
                <w:lang w:eastAsia="pl-PL"/>
              </w:rPr>
              <w:t xml:space="preserve"> Rady Nadzorczej Nr 20/2022 z 19.05.2022 r.</w:t>
            </w:r>
          </w:p>
        </w:tc>
      </w:tr>
      <w:tr w:rsidR="0034370F" w:rsidRPr="00483CF5" w14:paraId="3FAE00D0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B2C550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color w:val="00000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color w:val="000000"/>
                <w:lang w:eastAsia="pl-PL"/>
              </w:rPr>
              <w:t>Kogo obowiązuje: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483F38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color w:val="000000"/>
                <w:lang w:eastAsia="pl-PL"/>
              </w:rPr>
            </w:pPr>
            <w:r w:rsidRPr="00483CF5">
              <w:rPr>
                <w:rFonts w:eastAsia="Times New Roman" w:cstheme="minorHAnsi"/>
                <w:bCs/>
                <w:snapToGrid w:val="0"/>
                <w:color w:val="000000"/>
                <w:lang w:eastAsia="pl-PL"/>
              </w:rPr>
              <w:t xml:space="preserve">wszyscy pracownicy Banku </w:t>
            </w:r>
          </w:p>
        </w:tc>
      </w:tr>
    </w:tbl>
    <w:p w14:paraId="23A5E6CC" w14:textId="77777777" w:rsidR="001D034F" w:rsidRPr="00483CF5" w:rsidRDefault="001D034F" w:rsidP="0034370F">
      <w:pPr>
        <w:snapToGrid w:val="0"/>
        <w:spacing w:before="120" w:after="60" w:line="240" w:lineRule="auto"/>
        <w:jc w:val="both"/>
        <w:rPr>
          <w:rFonts w:eastAsia="Times New Roman" w:cstheme="minorHAnsi"/>
          <w:b/>
        </w:rPr>
      </w:pPr>
    </w:p>
    <w:p w14:paraId="7A4A9D02" w14:textId="77777777" w:rsidR="0034370F" w:rsidRPr="00483CF5" w:rsidRDefault="0034370F" w:rsidP="0034370F">
      <w:pPr>
        <w:snapToGrid w:val="0"/>
        <w:spacing w:before="120" w:after="60" w:line="240" w:lineRule="auto"/>
        <w:jc w:val="both"/>
        <w:rPr>
          <w:rFonts w:eastAsia="Times New Roman" w:cstheme="minorHAnsi"/>
          <w:lang w:eastAsia="pl-PL"/>
        </w:rPr>
      </w:pPr>
      <w:r w:rsidRPr="00483CF5">
        <w:rPr>
          <w:rFonts w:eastAsia="Times New Roman" w:cstheme="minorHAnsi"/>
          <w:b/>
          <w:lang w:eastAsia="pl-PL"/>
        </w:rPr>
        <w:t>Osoby zaangażowane</w:t>
      </w:r>
    </w:p>
    <w:tbl>
      <w:tblPr>
        <w:tblW w:w="9315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0"/>
        <w:gridCol w:w="6305"/>
      </w:tblGrid>
      <w:tr w:rsidR="0034370F" w:rsidRPr="00483CF5" w14:paraId="025049F0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7641ED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color w:val="00000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color w:val="000000"/>
                <w:lang w:eastAsia="pl-PL"/>
              </w:rPr>
              <w:t>Sporządzony przez: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CBDFAA" w14:textId="416CFC09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color w:val="000000"/>
                <w:lang w:eastAsia="pl-PL"/>
              </w:rPr>
            </w:pPr>
            <w:r w:rsidRPr="00483CF5">
              <w:rPr>
                <w:rFonts w:eastAsia="Times New Roman" w:cstheme="minorHAnsi"/>
                <w:bCs/>
                <w:snapToGrid w:val="0"/>
                <w:lang w:eastAsia="pl-PL"/>
              </w:rPr>
              <w:t>Irena Skoroszewska – Prezes Zarządu</w:t>
            </w:r>
          </w:p>
        </w:tc>
      </w:tr>
      <w:tr w:rsidR="0034370F" w:rsidRPr="00483CF5" w14:paraId="04209954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31331C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color w:val="00000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color w:val="000000"/>
                <w:lang w:eastAsia="pl-PL"/>
              </w:rPr>
              <w:t xml:space="preserve">Zaakceptowany przez: 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82987C" w14:textId="2C00C1AC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lang w:eastAsia="pl-PL"/>
              </w:rPr>
            </w:pPr>
            <w:r w:rsidRPr="00483CF5">
              <w:rPr>
                <w:rFonts w:eastAsia="Times New Roman" w:cstheme="minorHAnsi"/>
                <w:bCs/>
                <w:snapToGrid w:val="0"/>
                <w:lang w:eastAsia="pl-PL"/>
              </w:rPr>
              <w:t>Zarząd Banku</w:t>
            </w:r>
          </w:p>
        </w:tc>
      </w:tr>
      <w:tr w:rsidR="0034370F" w:rsidRPr="00483CF5" w14:paraId="49562155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A6DB8B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color w:val="00000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color w:val="000000"/>
                <w:lang w:eastAsia="pl-PL"/>
              </w:rPr>
              <w:t>Uzgodniony merytorycznie z: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414DE5" w14:textId="09AAF053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bCs/>
                <w:snapToGrid w:val="0"/>
                <w:color w:val="000000"/>
                <w:lang w:eastAsia="pl-PL"/>
              </w:rPr>
            </w:pPr>
            <w:r w:rsidRPr="00483CF5">
              <w:rPr>
                <w:rFonts w:eastAsia="Times New Roman" w:cstheme="minorHAnsi"/>
                <w:bCs/>
                <w:snapToGrid w:val="0"/>
                <w:color w:val="000000"/>
                <w:lang w:eastAsia="pl-PL"/>
              </w:rPr>
              <w:t>Irena Kocon – Specjalista ds. zgodności i kontroli wewnętrznej</w:t>
            </w:r>
          </w:p>
        </w:tc>
      </w:tr>
      <w:tr w:rsidR="0034370F" w:rsidRPr="00483CF5" w14:paraId="2CDEE875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499D3D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lang w:eastAsia="pl-PL"/>
              </w:rPr>
              <w:t>Sprawdzony pod względem prawnym: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1DB18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b/>
                <w:snapToGrid w:val="0"/>
                <w:lang w:eastAsia="pl-PL"/>
              </w:rPr>
            </w:pPr>
            <w:r w:rsidRPr="00483CF5">
              <w:rPr>
                <w:rFonts w:eastAsia="Times New Roman" w:cstheme="minorHAnsi"/>
                <w:b/>
                <w:snapToGrid w:val="0"/>
                <w:lang w:eastAsia="pl-PL"/>
              </w:rPr>
              <w:t>--------------------------</w:t>
            </w:r>
          </w:p>
        </w:tc>
      </w:tr>
      <w:tr w:rsidR="0034370F" w:rsidRPr="00483CF5" w14:paraId="1BC0079E" w14:textId="77777777" w:rsidTr="00362C0E">
        <w:trPr>
          <w:trHeight w:val="397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88A7F1" w14:textId="77777777" w:rsidR="0034370F" w:rsidRPr="00483CF5" w:rsidRDefault="0034370F" w:rsidP="0034370F">
            <w:pPr>
              <w:spacing w:after="0" w:line="240" w:lineRule="auto"/>
              <w:rPr>
                <w:rFonts w:eastAsia="Times New Roman" w:cstheme="minorHAnsi"/>
                <w:snapToGrid w:val="0"/>
                <w:lang w:eastAsia="pl-PL"/>
              </w:rPr>
            </w:pPr>
            <w:r w:rsidRPr="00483CF5">
              <w:rPr>
                <w:rFonts w:eastAsia="Times New Roman" w:cstheme="minorHAnsi"/>
                <w:snapToGrid w:val="0"/>
                <w:lang w:eastAsia="pl-PL"/>
              </w:rPr>
              <w:t>Sprawdzony pod względem legislacyjnym:</w:t>
            </w:r>
          </w:p>
        </w:tc>
        <w:tc>
          <w:tcPr>
            <w:tcW w:w="6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9FC7C7" w14:textId="786478C2" w:rsidR="0034370F" w:rsidRPr="00D40593" w:rsidRDefault="00D40593" w:rsidP="0034370F">
            <w:pPr>
              <w:spacing w:after="0" w:line="240" w:lineRule="auto"/>
              <w:rPr>
                <w:rFonts w:eastAsia="Times New Roman" w:cstheme="minorHAnsi"/>
                <w:snapToGrid w:val="0"/>
                <w:lang w:eastAsia="pl-PL"/>
              </w:rPr>
            </w:pPr>
            <w:r w:rsidRPr="00D40593">
              <w:rPr>
                <w:rFonts w:eastAsia="Times New Roman" w:cstheme="minorHAnsi"/>
                <w:snapToGrid w:val="0"/>
                <w:lang w:eastAsia="pl-PL"/>
              </w:rPr>
              <w:t>Anna</w:t>
            </w:r>
            <w:r>
              <w:rPr>
                <w:rFonts w:eastAsia="Times New Roman" w:cstheme="minorHAnsi"/>
                <w:snapToGrid w:val="0"/>
                <w:lang w:eastAsia="pl-PL"/>
              </w:rPr>
              <w:t xml:space="preserve"> Czechowska </w:t>
            </w:r>
            <w:r w:rsidR="006C3797">
              <w:rPr>
                <w:rFonts w:eastAsia="Times New Roman" w:cstheme="minorHAnsi"/>
                <w:snapToGrid w:val="0"/>
                <w:lang w:eastAsia="pl-PL"/>
              </w:rPr>
              <w:t>–</w:t>
            </w:r>
            <w:r>
              <w:rPr>
                <w:rFonts w:eastAsia="Times New Roman" w:cstheme="minorHAnsi"/>
                <w:snapToGrid w:val="0"/>
                <w:lang w:eastAsia="pl-PL"/>
              </w:rPr>
              <w:t xml:space="preserve"> </w:t>
            </w:r>
            <w:r w:rsidR="006C3797">
              <w:rPr>
                <w:rFonts w:eastAsia="Times New Roman" w:cstheme="minorHAnsi"/>
                <w:snapToGrid w:val="0"/>
                <w:lang w:eastAsia="pl-PL"/>
              </w:rPr>
              <w:t xml:space="preserve">Inspektor ds. </w:t>
            </w:r>
            <w:r w:rsidR="00F72A8A">
              <w:rPr>
                <w:rFonts w:eastAsia="Times New Roman" w:cstheme="minorHAnsi"/>
                <w:snapToGrid w:val="0"/>
                <w:lang w:eastAsia="pl-PL"/>
              </w:rPr>
              <w:t xml:space="preserve">organizacji, </w:t>
            </w:r>
            <w:r w:rsidR="006C3797">
              <w:rPr>
                <w:rFonts w:eastAsia="Times New Roman" w:cstheme="minorHAnsi"/>
                <w:snapToGrid w:val="0"/>
                <w:lang w:eastAsia="pl-PL"/>
              </w:rPr>
              <w:t>administracji i samorządu</w:t>
            </w:r>
          </w:p>
        </w:tc>
      </w:tr>
    </w:tbl>
    <w:p w14:paraId="30F10893" w14:textId="77777777" w:rsidR="0034370F" w:rsidRPr="00483CF5" w:rsidRDefault="0034370F" w:rsidP="0034370F">
      <w:pPr>
        <w:snapToGrid w:val="0"/>
        <w:spacing w:before="120" w:after="60" w:line="240" w:lineRule="auto"/>
        <w:jc w:val="both"/>
        <w:rPr>
          <w:rFonts w:eastAsia="Times New Roman" w:cstheme="minorHAnsi"/>
          <w:b/>
        </w:rPr>
      </w:pPr>
    </w:p>
    <w:p w14:paraId="29E2B084" w14:textId="77777777" w:rsidR="0034370F" w:rsidRPr="00483CF5" w:rsidRDefault="0034370F" w:rsidP="0034370F">
      <w:pPr>
        <w:snapToGrid w:val="0"/>
        <w:spacing w:before="12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483CF5">
        <w:rPr>
          <w:rFonts w:eastAsia="Times New Roman" w:cstheme="minorHAnsi"/>
          <w:b/>
          <w:lang w:eastAsia="pl-PL"/>
        </w:rPr>
        <w:t>Historia zmian</w:t>
      </w:r>
    </w:p>
    <w:tbl>
      <w:tblPr>
        <w:tblW w:w="515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78"/>
        <w:gridCol w:w="2672"/>
        <w:gridCol w:w="2551"/>
        <w:gridCol w:w="2549"/>
      </w:tblGrid>
      <w:tr w:rsidR="0034370F" w:rsidRPr="00483CF5" w14:paraId="50B1F62B" w14:textId="77777777" w:rsidTr="008D2213">
        <w:trPr>
          <w:cantSplit/>
        </w:trPr>
        <w:tc>
          <w:tcPr>
            <w:tcW w:w="844" w:type="pct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9A8BDF" w14:textId="77777777" w:rsidR="0034370F" w:rsidRPr="00483CF5" w:rsidRDefault="0034370F" w:rsidP="0034370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83CF5">
              <w:rPr>
                <w:rFonts w:eastAsia="Times New Roman" w:cstheme="minorHAnsi"/>
                <w:lang w:eastAsia="pl-PL"/>
              </w:rPr>
              <w:t>Data</w:t>
            </w:r>
          </w:p>
        </w:tc>
        <w:tc>
          <w:tcPr>
            <w:tcW w:w="1429" w:type="pct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F4D4A2" w14:textId="77777777" w:rsidR="0034370F" w:rsidRPr="00483CF5" w:rsidRDefault="0034370F" w:rsidP="0034370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83CF5">
              <w:rPr>
                <w:rFonts w:eastAsia="Times New Roman" w:cstheme="minorHAnsi"/>
                <w:lang w:eastAsia="pl-PL"/>
              </w:rPr>
              <w:t>Rodzaj zmian</w:t>
            </w:r>
          </w:p>
        </w:tc>
        <w:tc>
          <w:tcPr>
            <w:tcW w:w="1364" w:type="pct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8E36F9" w14:textId="77777777" w:rsidR="0034370F" w:rsidRPr="00483CF5" w:rsidRDefault="0034370F" w:rsidP="0034370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83CF5">
              <w:rPr>
                <w:rFonts w:eastAsia="Times New Roman" w:cstheme="minorHAnsi"/>
                <w:lang w:eastAsia="pl-PL"/>
              </w:rPr>
              <w:t>Autor</w:t>
            </w:r>
          </w:p>
        </w:tc>
        <w:tc>
          <w:tcPr>
            <w:tcW w:w="1363" w:type="pct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DFCC6B" w14:textId="77777777" w:rsidR="0034370F" w:rsidRPr="00483CF5" w:rsidRDefault="0034370F" w:rsidP="0034370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83CF5">
              <w:rPr>
                <w:rFonts w:eastAsia="Times New Roman" w:cstheme="minorHAnsi"/>
                <w:lang w:eastAsia="pl-PL"/>
              </w:rPr>
              <w:t>Zatwierdził</w:t>
            </w:r>
            <w:r w:rsidRPr="00483CF5">
              <w:rPr>
                <w:rFonts w:eastAsia="Times New Roman" w:cstheme="minorHAnsi"/>
                <w:lang w:eastAsia="pl-PL"/>
              </w:rPr>
              <w:br/>
              <w:t>(osoba/ stanowisko)</w:t>
            </w:r>
          </w:p>
        </w:tc>
      </w:tr>
      <w:tr w:rsidR="0034370F" w:rsidRPr="00483CF5" w14:paraId="397C165B" w14:textId="77777777" w:rsidTr="008D2213">
        <w:trPr>
          <w:cantSplit/>
          <w:trHeight w:val="340"/>
        </w:trPr>
        <w:tc>
          <w:tcPr>
            <w:tcW w:w="844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3DAC88" w14:textId="3A648031" w:rsidR="0034370F" w:rsidRPr="00483CF5" w:rsidRDefault="004136EC" w:rsidP="0034370F">
            <w:pPr>
              <w:spacing w:after="0" w:line="240" w:lineRule="auto"/>
              <w:ind w:left="112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12.05</w:t>
            </w:r>
            <w:r w:rsidR="0034370F" w:rsidRPr="00483CF5">
              <w:rPr>
                <w:rFonts w:eastAsia="Times New Roman" w:cstheme="minorHAnsi"/>
                <w:lang w:eastAsia="pl-PL"/>
              </w:rPr>
              <w:t xml:space="preserve">.2022 r. </w:t>
            </w:r>
          </w:p>
        </w:tc>
        <w:tc>
          <w:tcPr>
            <w:tcW w:w="142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10C03D" w14:textId="77777777" w:rsidR="0034370F" w:rsidRPr="00483CF5" w:rsidRDefault="0034370F" w:rsidP="0034370F">
            <w:pPr>
              <w:spacing w:after="0" w:line="240" w:lineRule="auto"/>
              <w:ind w:left="121"/>
              <w:rPr>
                <w:rFonts w:eastAsia="Times New Roman" w:cstheme="minorHAnsi"/>
                <w:lang w:eastAsia="pl-PL"/>
              </w:rPr>
            </w:pPr>
            <w:r w:rsidRPr="00483CF5">
              <w:rPr>
                <w:rFonts w:eastAsia="Times New Roman" w:cstheme="minorHAnsi"/>
                <w:lang w:eastAsia="pl-PL"/>
              </w:rPr>
              <w:t xml:space="preserve">Utworzenie dokumentu </w:t>
            </w:r>
          </w:p>
        </w:tc>
        <w:tc>
          <w:tcPr>
            <w:tcW w:w="13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409337" w14:textId="03C9B2FE" w:rsidR="0034370F" w:rsidRPr="00483CF5" w:rsidRDefault="0034370F" w:rsidP="0034370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83CF5">
              <w:rPr>
                <w:rFonts w:eastAsia="Times New Roman" w:cstheme="minorHAnsi"/>
                <w:lang w:eastAsia="pl-PL"/>
              </w:rPr>
              <w:t>Irena Skoroszewska – Prezes Zarządu</w:t>
            </w:r>
          </w:p>
        </w:tc>
        <w:tc>
          <w:tcPr>
            <w:tcW w:w="136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5CA03C" w14:textId="67CF0786" w:rsidR="0034370F" w:rsidRPr="00483CF5" w:rsidRDefault="0034370F" w:rsidP="0034370F">
            <w:pPr>
              <w:spacing w:after="0" w:line="240" w:lineRule="auto"/>
              <w:ind w:left="122"/>
              <w:jc w:val="center"/>
              <w:rPr>
                <w:rFonts w:eastAsia="Times New Roman" w:cstheme="minorHAnsi"/>
                <w:lang w:eastAsia="pl-PL"/>
              </w:rPr>
            </w:pPr>
            <w:r w:rsidRPr="00483CF5">
              <w:rPr>
                <w:rFonts w:eastAsia="Times New Roman" w:cstheme="minorHAnsi"/>
                <w:lang w:eastAsia="pl-PL"/>
              </w:rPr>
              <w:t>Rada Nadzorcza</w:t>
            </w:r>
          </w:p>
        </w:tc>
      </w:tr>
      <w:tr w:rsidR="008D2213" w:rsidRPr="00483CF5" w14:paraId="468D128C" w14:textId="77777777" w:rsidTr="008D2213">
        <w:trPr>
          <w:cantSplit/>
          <w:trHeight w:val="340"/>
        </w:trPr>
        <w:tc>
          <w:tcPr>
            <w:tcW w:w="844" w:type="pct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284DC" w14:textId="693E01BF" w:rsidR="008D2213" w:rsidRPr="00483CF5" w:rsidRDefault="00E05923" w:rsidP="008D2213">
            <w:pPr>
              <w:spacing w:after="0" w:line="240" w:lineRule="auto"/>
              <w:ind w:left="112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10.09.2024 r.</w:t>
            </w:r>
          </w:p>
        </w:tc>
        <w:tc>
          <w:tcPr>
            <w:tcW w:w="1429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FEA08" w14:textId="752E7421" w:rsidR="008D2213" w:rsidRPr="00483CF5" w:rsidRDefault="008D2213" w:rsidP="008D2213">
            <w:pPr>
              <w:spacing w:after="0" w:line="240" w:lineRule="auto"/>
              <w:ind w:left="121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</w:t>
            </w:r>
            <w:r>
              <w:rPr>
                <w:rFonts w:eastAsia="Times New Roman"/>
                <w:lang w:eastAsia="pl-PL"/>
              </w:rPr>
              <w:t>ktualizacja dokumentu</w:t>
            </w:r>
          </w:p>
        </w:tc>
        <w:tc>
          <w:tcPr>
            <w:tcW w:w="1364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1DCEB" w14:textId="4F510B20" w:rsidR="008D2213" w:rsidRPr="00483CF5" w:rsidRDefault="008D2213" w:rsidP="008D221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83CF5">
              <w:rPr>
                <w:rFonts w:eastAsia="Times New Roman" w:cstheme="minorHAnsi"/>
                <w:lang w:eastAsia="pl-PL"/>
              </w:rPr>
              <w:t>Irena Skoroszewska – Prezes Zarządu</w:t>
            </w:r>
          </w:p>
        </w:tc>
        <w:tc>
          <w:tcPr>
            <w:tcW w:w="1363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4FD10" w14:textId="7324B40C" w:rsidR="008D2213" w:rsidRPr="00483CF5" w:rsidRDefault="008D2213" w:rsidP="008D2213">
            <w:pPr>
              <w:spacing w:after="0" w:line="240" w:lineRule="auto"/>
              <w:ind w:left="122"/>
              <w:jc w:val="center"/>
              <w:rPr>
                <w:rFonts w:eastAsia="Times New Roman" w:cstheme="minorHAnsi"/>
                <w:lang w:eastAsia="pl-PL"/>
              </w:rPr>
            </w:pPr>
            <w:r w:rsidRPr="00483CF5">
              <w:rPr>
                <w:rFonts w:eastAsia="Times New Roman" w:cstheme="minorHAnsi"/>
                <w:lang w:eastAsia="pl-PL"/>
              </w:rPr>
              <w:t>Rada Nadzorcza</w:t>
            </w:r>
          </w:p>
        </w:tc>
      </w:tr>
    </w:tbl>
    <w:p w14:paraId="2D0D667E" w14:textId="77777777" w:rsidR="0034370F" w:rsidRPr="00483CF5" w:rsidRDefault="0034370F" w:rsidP="0034370F">
      <w:pPr>
        <w:spacing w:after="120" w:line="240" w:lineRule="auto"/>
        <w:ind w:left="360"/>
        <w:jc w:val="both"/>
        <w:rPr>
          <w:rFonts w:eastAsia="Times New Roman" w:cstheme="minorHAnsi"/>
          <w:bCs/>
          <w:iCs/>
          <w:color w:val="FF66CC"/>
          <w:lang w:eastAsia="pl-PL"/>
        </w:rPr>
      </w:pPr>
    </w:p>
    <w:p w14:paraId="7621BD3F" w14:textId="66FE9D32" w:rsidR="0034370F" w:rsidRPr="00483CF5" w:rsidRDefault="0034370F" w:rsidP="0034370F">
      <w:pPr>
        <w:spacing w:after="120" w:line="240" w:lineRule="auto"/>
        <w:ind w:left="360"/>
        <w:jc w:val="both"/>
        <w:rPr>
          <w:rFonts w:eastAsia="Times New Roman" w:cstheme="minorHAnsi"/>
          <w:b/>
          <w:i/>
          <w:color w:val="FF66CC"/>
          <w:lang w:eastAsia="pl-PL"/>
        </w:rPr>
      </w:pPr>
    </w:p>
    <w:p w14:paraId="50E18292" w14:textId="77777777" w:rsidR="00742DBF" w:rsidRPr="00483CF5" w:rsidRDefault="00742DBF" w:rsidP="0034370F">
      <w:pPr>
        <w:spacing w:after="120" w:line="240" w:lineRule="auto"/>
        <w:ind w:left="360"/>
        <w:jc w:val="both"/>
        <w:rPr>
          <w:rFonts w:eastAsia="Times New Roman" w:cstheme="minorHAnsi"/>
          <w:b/>
          <w:i/>
          <w:color w:val="FF66CC"/>
          <w:lang w:eastAsia="pl-PL"/>
        </w:rPr>
      </w:pPr>
    </w:p>
    <w:p w14:paraId="30D122BF" w14:textId="1CA27361" w:rsidR="001D6112" w:rsidRPr="00483CF5" w:rsidRDefault="001D6112">
      <w:pPr>
        <w:rPr>
          <w:rFonts w:cstheme="minorHAnsi"/>
          <w:b/>
        </w:rPr>
      </w:pPr>
    </w:p>
    <w:p w14:paraId="1F31031E" w14:textId="4E596414" w:rsidR="0034370F" w:rsidRDefault="0034370F">
      <w:pPr>
        <w:rPr>
          <w:rFonts w:cstheme="minorHAnsi"/>
          <w:b/>
        </w:rPr>
      </w:pPr>
    </w:p>
    <w:p w14:paraId="56614275" w14:textId="77777777" w:rsidR="00483CF5" w:rsidRPr="00483CF5" w:rsidRDefault="00483CF5">
      <w:pPr>
        <w:rPr>
          <w:rFonts w:cstheme="minorHAnsi"/>
          <w:b/>
        </w:rPr>
      </w:pPr>
    </w:p>
    <w:p w14:paraId="6964436E" w14:textId="467BC48D" w:rsidR="0034370F" w:rsidRPr="00483CF5" w:rsidRDefault="0034370F">
      <w:pPr>
        <w:rPr>
          <w:rFonts w:cstheme="minorHAnsi"/>
          <w:b/>
        </w:rPr>
      </w:pPr>
    </w:p>
    <w:p w14:paraId="15303D27" w14:textId="76A6B22B" w:rsidR="0034370F" w:rsidRPr="00483CF5" w:rsidRDefault="0034370F">
      <w:pPr>
        <w:rPr>
          <w:rFonts w:cstheme="minorHAnsi"/>
          <w:b/>
        </w:rPr>
      </w:pPr>
    </w:p>
    <w:p w14:paraId="3625D1D5" w14:textId="36C4A3EA" w:rsidR="007144B8" w:rsidRPr="00483CF5" w:rsidRDefault="007144B8" w:rsidP="00072DEF">
      <w:pPr>
        <w:pStyle w:val="Spistreci1"/>
      </w:pPr>
      <w:r w:rsidRPr="00483CF5">
        <w:t>SPIS TREŚCI</w:t>
      </w:r>
    </w:p>
    <w:p w14:paraId="652416BB" w14:textId="108A6CF5" w:rsidR="006C3797" w:rsidRDefault="007144B8">
      <w:pPr>
        <w:pStyle w:val="Spistreci1"/>
        <w:rPr>
          <w:rFonts w:eastAsiaTheme="minorEastAsia"/>
          <w:b w:val="0"/>
          <w:noProof/>
          <w:lang w:eastAsia="pl-PL"/>
        </w:rPr>
      </w:pPr>
      <w:r w:rsidRPr="00483CF5">
        <w:rPr>
          <w:rFonts w:eastAsia="Times New Roman"/>
          <w:bCs/>
          <w:color w:val="365F91" w:themeColor="accent1" w:themeShade="BF"/>
          <w:lang w:eastAsia="pl-PL"/>
        </w:rPr>
        <w:fldChar w:fldCharType="begin"/>
      </w:r>
      <w:r w:rsidRPr="00483CF5">
        <w:rPr>
          <w:rFonts w:eastAsia="Times New Roman"/>
          <w:bCs/>
          <w:color w:val="365F91" w:themeColor="accent1" w:themeShade="BF"/>
          <w:lang w:eastAsia="pl-PL"/>
        </w:rPr>
        <w:instrText xml:space="preserve"> TOC \o "1-4" \h \z \u </w:instrText>
      </w:r>
      <w:r w:rsidRPr="00483CF5">
        <w:rPr>
          <w:rFonts w:eastAsia="Times New Roman"/>
          <w:bCs/>
          <w:color w:val="365F91" w:themeColor="accent1" w:themeShade="BF"/>
          <w:lang w:eastAsia="pl-PL"/>
        </w:rPr>
        <w:fldChar w:fldCharType="separate"/>
      </w:r>
      <w:hyperlink w:anchor="_Toc101957808" w:history="1">
        <w:r w:rsidR="006C3797" w:rsidRPr="00E1335B">
          <w:rPr>
            <w:rStyle w:val="Hipercze"/>
            <w:rFonts w:ascii="Calibri" w:eastAsia="Times New Roman" w:hAnsi="Calibri" w:cstheme="minorHAnsi"/>
            <w:noProof/>
            <w:kern w:val="32"/>
            <w:lang w:eastAsia="pl-PL"/>
          </w:rPr>
          <w:t>Rozdział 1.</w:t>
        </w:r>
        <w:r w:rsidR="006C3797">
          <w:rPr>
            <w:rFonts w:eastAsiaTheme="minorEastAsia"/>
            <w:b w:val="0"/>
            <w:noProof/>
            <w:lang w:eastAsia="pl-PL"/>
          </w:rPr>
          <w:tab/>
        </w:r>
        <w:r w:rsidR="006C3797" w:rsidRPr="00E1335B">
          <w:rPr>
            <w:rStyle w:val="Hipercze"/>
            <w:rFonts w:eastAsia="Times New Roman" w:cstheme="minorHAnsi"/>
            <w:noProof/>
            <w:kern w:val="32"/>
            <w:lang w:eastAsia="pl-PL"/>
          </w:rPr>
          <w:t>Postanowienia ogólne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_Toc101957808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3B3142">
          <w:rPr>
            <w:noProof/>
            <w:webHidden/>
          </w:rPr>
          <w:t>4</w:t>
        </w:r>
        <w:r w:rsidR="006C3797">
          <w:rPr>
            <w:noProof/>
            <w:webHidden/>
          </w:rPr>
          <w:fldChar w:fldCharType="end"/>
        </w:r>
      </w:hyperlink>
    </w:p>
    <w:p w14:paraId="3488DF59" w14:textId="4911DC11" w:rsidR="006C3797" w:rsidRDefault="00E05923">
      <w:pPr>
        <w:pStyle w:val="Spistreci1"/>
        <w:rPr>
          <w:rFonts w:eastAsiaTheme="minorEastAsia"/>
          <w:b w:val="0"/>
          <w:noProof/>
          <w:lang w:eastAsia="pl-PL"/>
        </w:rPr>
      </w:pPr>
      <w:hyperlink w:anchor="_Toc101957809" w:history="1">
        <w:r w:rsidR="006C3797" w:rsidRPr="00E1335B">
          <w:rPr>
            <w:rStyle w:val="Hipercze"/>
            <w:rFonts w:ascii="Calibri" w:hAnsi="Calibri" w:cstheme="minorHAnsi"/>
            <w:noProof/>
          </w:rPr>
          <w:t>Rozdział 2.</w:t>
        </w:r>
        <w:r w:rsidR="006C3797">
          <w:rPr>
            <w:rFonts w:eastAsiaTheme="minorEastAsia"/>
            <w:b w:val="0"/>
            <w:noProof/>
            <w:lang w:eastAsia="pl-PL"/>
          </w:rPr>
          <w:tab/>
        </w:r>
        <w:r w:rsidR="006C3797" w:rsidRPr="00E1335B">
          <w:rPr>
            <w:rStyle w:val="Hipercze"/>
            <w:rFonts w:cstheme="minorHAnsi"/>
            <w:noProof/>
          </w:rPr>
          <w:t>Kryteria podziału wynagrodzenia całkowitego na wynagrodzenie stałe i zmienne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_Toc101957809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3B3142">
          <w:rPr>
            <w:noProof/>
            <w:webHidden/>
          </w:rPr>
          <w:t>6</w:t>
        </w:r>
        <w:r w:rsidR="006C3797">
          <w:rPr>
            <w:noProof/>
            <w:webHidden/>
          </w:rPr>
          <w:fldChar w:fldCharType="end"/>
        </w:r>
      </w:hyperlink>
    </w:p>
    <w:p w14:paraId="01ED23E4" w14:textId="6B077773" w:rsidR="006C3797" w:rsidRDefault="00E05923">
      <w:pPr>
        <w:pStyle w:val="Spistreci1"/>
        <w:rPr>
          <w:rFonts w:eastAsiaTheme="minorEastAsia"/>
          <w:b w:val="0"/>
          <w:noProof/>
          <w:lang w:eastAsia="pl-PL"/>
        </w:rPr>
      </w:pPr>
      <w:hyperlink w:anchor="_Toc101957810" w:history="1">
        <w:r w:rsidR="006C3797" w:rsidRPr="00E1335B">
          <w:rPr>
            <w:rStyle w:val="Hipercze"/>
            <w:rFonts w:ascii="Calibri" w:hAnsi="Calibri" w:cstheme="minorHAnsi"/>
            <w:noProof/>
          </w:rPr>
          <w:t>Rozdział 3.</w:t>
        </w:r>
        <w:r w:rsidR="006C3797">
          <w:rPr>
            <w:rFonts w:eastAsiaTheme="minorEastAsia"/>
            <w:b w:val="0"/>
            <w:noProof/>
            <w:lang w:eastAsia="pl-PL"/>
          </w:rPr>
          <w:tab/>
        </w:r>
        <w:r w:rsidR="006C3797" w:rsidRPr="00E1335B">
          <w:rPr>
            <w:rStyle w:val="Hipercze"/>
            <w:rFonts w:cstheme="minorHAnsi"/>
            <w:noProof/>
          </w:rPr>
          <w:t>Wynagrodzenie stałe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_Toc101957810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3B3142">
          <w:rPr>
            <w:noProof/>
            <w:webHidden/>
          </w:rPr>
          <w:t>7</w:t>
        </w:r>
        <w:r w:rsidR="006C3797">
          <w:rPr>
            <w:noProof/>
            <w:webHidden/>
          </w:rPr>
          <w:fldChar w:fldCharType="end"/>
        </w:r>
      </w:hyperlink>
    </w:p>
    <w:p w14:paraId="01868B0B" w14:textId="4634521A" w:rsidR="006C3797" w:rsidRDefault="00E05923">
      <w:pPr>
        <w:pStyle w:val="Spistreci2"/>
        <w:rPr>
          <w:rFonts w:eastAsiaTheme="minorEastAsia"/>
          <w:noProof/>
          <w:lang w:eastAsia="pl-PL"/>
        </w:rPr>
      </w:pPr>
      <w:hyperlink w:anchor="_Toc101957811" w:history="1">
        <w:r w:rsidR="006C3797" w:rsidRPr="00E1335B">
          <w:rPr>
            <w:rStyle w:val="Hipercze"/>
            <w:rFonts w:eastAsia="Times New Roman" w:cstheme="minorHAnsi"/>
            <w:noProof/>
            <w:lang w:eastAsia="zh-CN"/>
          </w:rPr>
          <w:t>Oddział 1. Składniki wynagrodzeń stałych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_Toc101957811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3B3142">
          <w:rPr>
            <w:noProof/>
            <w:webHidden/>
          </w:rPr>
          <w:t>7</w:t>
        </w:r>
        <w:r w:rsidR="006C3797">
          <w:rPr>
            <w:noProof/>
            <w:webHidden/>
          </w:rPr>
          <w:fldChar w:fldCharType="end"/>
        </w:r>
      </w:hyperlink>
    </w:p>
    <w:p w14:paraId="2190D4BB" w14:textId="5CD48848" w:rsidR="006C3797" w:rsidRDefault="00E05923">
      <w:pPr>
        <w:pStyle w:val="Spistreci2"/>
        <w:rPr>
          <w:rFonts w:eastAsiaTheme="minorEastAsia"/>
          <w:noProof/>
          <w:lang w:eastAsia="pl-PL"/>
        </w:rPr>
      </w:pPr>
      <w:hyperlink w:anchor="_Toc101957812" w:history="1">
        <w:r w:rsidR="006C3797" w:rsidRPr="00E1335B">
          <w:rPr>
            <w:rStyle w:val="Hipercze"/>
            <w:rFonts w:eastAsia="Times New Roman" w:cstheme="minorHAnsi"/>
            <w:noProof/>
            <w:lang w:eastAsia="zh-CN"/>
          </w:rPr>
          <w:t>Oddział 2. Wynagrodzenie zasadnicze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_Toc101957812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3B3142">
          <w:rPr>
            <w:noProof/>
            <w:webHidden/>
          </w:rPr>
          <w:t>7</w:t>
        </w:r>
        <w:r w:rsidR="006C3797">
          <w:rPr>
            <w:noProof/>
            <w:webHidden/>
          </w:rPr>
          <w:fldChar w:fldCharType="end"/>
        </w:r>
      </w:hyperlink>
    </w:p>
    <w:p w14:paraId="4C3DC918" w14:textId="3A10D27D" w:rsidR="006C3797" w:rsidRDefault="00E05923">
      <w:pPr>
        <w:pStyle w:val="Spistreci2"/>
        <w:rPr>
          <w:rFonts w:eastAsiaTheme="minorEastAsia"/>
          <w:noProof/>
          <w:lang w:eastAsia="pl-PL"/>
        </w:rPr>
      </w:pPr>
      <w:hyperlink w:anchor="_Toc101957813" w:history="1">
        <w:r w:rsidR="006C3797" w:rsidRPr="00E1335B">
          <w:rPr>
            <w:rStyle w:val="Hipercze"/>
            <w:rFonts w:eastAsia="Times New Roman" w:cstheme="minorHAnsi"/>
            <w:noProof/>
            <w:lang w:eastAsia="zh-CN"/>
          </w:rPr>
          <w:t>Oddział 3. Świadczenia wynikające z przepisów prawa pracy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_Toc101957813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3B3142">
          <w:rPr>
            <w:noProof/>
            <w:webHidden/>
          </w:rPr>
          <w:t>7</w:t>
        </w:r>
        <w:r w:rsidR="006C3797">
          <w:rPr>
            <w:noProof/>
            <w:webHidden/>
          </w:rPr>
          <w:fldChar w:fldCharType="end"/>
        </w:r>
      </w:hyperlink>
    </w:p>
    <w:p w14:paraId="79586922" w14:textId="5429203A" w:rsidR="006C3797" w:rsidRDefault="00E05923">
      <w:pPr>
        <w:pStyle w:val="Spistreci2"/>
        <w:rPr>
          <w:rFonts w:eastAsiaTheme="minorEastAsia"/>
          <w:noProof/>
          <w:lang w:eastAsia="pl-PL"/>
        </w:rPr>
      </w:pPr>
      <w:hyperlink w:anchor="_Toc101957814" w:history="1">
        <w:r w:rsidR="006C3797" w:rsidRPr="00E1335B">
          <w:rPr>
            <w:rStyle w:val="Hipercze"/>
            <w:rFonts w:eastAsia="Times New Roman" w:cstheme="minorHAnsi"/>
            <w:noProof/>
            <w:lang w:eastAsia="zh-CN"/>
          </w:rPr>
          <w:t>Oddział 4. Świadczenia pozapłacowe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_Toc101957814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3B3142">
          <w:rPr>
            <w:noProof/>
            <w:webHidden/>
          </w:rPr>
          <w:t>8</w:t>
        </w:r>
        <w:r w:rsidR="006C3797">
          <w:rPr>
            <w:noProof/>
            <w:webHidden/>
          </w:rPr>
          <w:fldChar w:fldCharType="end"/>
        </w:r>
      </w:hyperlink>
    </w:p>
    <w:p w14:paraId="4FC6238E" w14:textId="74916803" w:rsidR="006C3797" w:rsidRDefault="00E05923">
      <w:pPr>
        <w:pStyle w:val="Spistreci1"/>
        <w:rPr>
          <w:rFonts w:eastAsiaTheme="minorEastAsia"/>
          <w:b w:val="0"/>
          <w:noProof/>
          <w:lang w:eastAsia="pl-PL"/>
        </w:rPr>
      </w:pPr>
      <w:hyperlink w:anchor="_Toc101957815" w:history="1">
        <w:r w:rsidR="006C3797" w:rsidRPr="00E1335B">
          <w:rPr>
            <w:rStyle w:val="Hipercze"/>
            <w:rFonts w:ascii="Calibri" w:hAnsi="Calibri" w:cstheme="minorHAnsi"/>
            <w:noProof/>
          </w:rPr>
          <w:t>Rozdział 4.</w:t>
        </w:r>
        <w:r w:rsidR="006C3797">
          <w:rPr>
            <w:rFonts w:eastAsiaTheme="minorEastAsia"/>
            <w:b w:val="0"/>
            <w:noProof/>
            <w:lang w:eastAsia="pl-PL"/>
          </w:rPr>
          <w:tab/>
        </w:r>
        <w:r w:rsidR="006C3797" w:rsidRPr="00E1335B">
          <w:rPr>
            <w:rStyle w:val="Hipercze"/>
            <w:rFonts w:cstheme="minorHAnsi"/>
            <w:noProof/>
          </w:rPr>
          <w:t>Wynagrodzenie zmienne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_Toc101957815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3B3142">
          <w:rPr>
            <w:noProof/>
            <w:webHidden/>
          </w:rPr>
          <w:t>8</w:t>
        </w:r>
        <w:r w:rsidR="006C3797">
          <w:rPr>
            <w:noProof/>
            <w:webHidden/>
          </w:rPr>
          <w:fldChar w:fldCharType="end"/>
        </w:r>
      </w:hyperlink>
    </w:p>
    <w:p w14:paraId="7F4ECF21" w14:textId="66419B17" w:rsidR="006C3797" w:rsidRDefault="00E05923">
      <w:pPr>
        <w:pStyle w:val="Spistreci2"/>
        <w:rPr>
          <w:rFonts w:eastAsiaTheme="minorEastAsia"/>
          <w:noProof/>
          <w:lang w:eastAsia="pl-PL"/>
        </w:rPr>
      </w:pPr>
      <w:hyperlink w:anchor="_Toc101957816" w:history="1">
        <w:r w:rsidR="006C3797" w:rsidRPr="00E1335B">
          <w:rPr>
            <w:rStyle w:val="Hipercze"/>
            <w:rFonts w:eastAsia="Times New Roman" w:cstheme="minorHAnsi"/>
            <w:noProof/>
            <w:lang w:eastAsia="zh-CN"/>
          </w:rPr>
          <w:t>Oddział 1. Składniki wynagrodzeń zmiennych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_Toc101957816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3B3142">
          <w:rPr>
            <w:noProof/>
            <w:webHidden/>
          </w:rPr>
          <w:t>8</w:t>
        </w:r>
        <w:r w:rsidR="006C3797">
          <w:rPr>
            <w:noProof/>
            <w:webHidden/>
          </w:rPr>
          <w:fldChar w:fldCharType="end"/>
        </w:r>
      </w:hyperlink>
    </w:p>
    <w:p w14:paraId="0D6D2F4F" w14:textId="3E4A0483" w:rsidR="006C3797" w:rsidRDefault="00E05923">
      <w:pPr>
        <w:pStyle w:val="Spistreci2"/>
        <w:rPr>
          <w:rFonts w:eastAsiaTheme="minorEastAsia"/>
          <w:noProof/>
          <w:lang w:eastAsia="pl-PL"/>
        </w:rPr>
      </w:pPr>
      <w:hyperlink w:anchor="_Toc101957817" w:history="1">
        <w:r w:rsidR="006C3797" w:rsidRPr="00E1335B">
          <w:rPr>
            <w:rStyle w:val="Hipercze"/>
            <w:rFonts w:eastAsia="Times New Roman" w:cstheme="minorHAnsi"/>
            <w:noProof/>
            <w:lang w:eastAsia="zh-CN"/>
          </w:rPr>
          <w:t>Oddział 2. Premie uznaniowe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_Toc101957817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3B3142">
          <w:rPr>
            <w:noProof/>
            <w:webHidden/>
          </w:rPr>
          <w:t>8</w:t>
        </w:r>
        <w:r w:rsidR="006C3797">
          <w:rPr>
            <w:noProof/>
            <w:webHidden/>
          </w:rPr>
          <w:fldChar w:fldCharType="end"/>
        </w:r>
      </w:hyperlink>
    </w:p>
    <w:p w14:paraId="30BCA92A" w14:textId="4E9C7EE5" w:rsidR="006C3797" w:rsidRDefault="00E05923">
      <w:pPr>
        <w:pStyle w:val="Spistreci2"/>
        <w:rPr>
          <w:rFonts w:eastAsiaTheme="minorEastAsia"/>
          <w:noProof/>
          <w:lang w:eastAsia="pl-PL"/>
        </w:rPr>
      </w:pPr>
      <w:hyperlink w:anchor="_Toc101957818" w:history="1">
        <w:r w:rsidR="006C3797" w:rsidRPr="00E1335B">
          <w:rPr>
            <w:rStyle w:val="Hipercze"/>
            <w:rFonts w:eastAsia="Times New Roman" w:cstheme="minorHAnsi"/>
            <w:noProof/>
            <w:lang w:eastAsia="zh-CN"/>
          </w:rPr>
          <w:t>Oddział 3. Nagrody specjalne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_Toc101957818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3B3142">
          <w:rPr>
            <w:noProof/>
            <w:webHidden/>
          </w:rPr>
          <w:t>8</w:t>
        </w:r>
        <w:r w:rsidR="006C3797">
          <w:rPr>
            <w:noProof/>
            <w:webHidden/>
          </w:rPr>
          <w:fldChar w:fldCharType="end"/>
        </w:r>
      </w:hyperlink>
    </w:p>
    <w:p w14:paraId="50B28454" w14:textId="2184D974" w:rsidR="006C3797" w:rsidRDefault="00E05923">
      <w:pPr>
        <w:pStyle w:val="Spistreci2"/>
        <w:rPr>
          <w:rFonts w:eastAsiaTheme="minorEastAsia"/>
          <w:noProof/>
          <w:lang w:eastAsia="pl-PL"/>
        </w:rPr>
      </w:pPr>
      <w:hyperlink w:anchor="_Toc101957819" w:history="1">
        <w:r w:rsidR="006C3797" w:rsidRPr="00E1335B">
          <w:rPr>
            <w:rStyle w:val="Hipercze"/>
            <w:rFonts w:eastAsia="Times New Roman" w:cstheme="minorHAnsi"/>
            <w:noProof/>
            <w:lang w:eastAsia="zh-CN"/>
          </w:rPr>
          <w:t>Oddział 4. Odprawa rentowa lub emerytalna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_Toc101957819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3B3142">
          <w:rPr>
            <w:noProof/>
            <w:webHidden/>
          </w:rPr>
          <w:t>9</w:t>
        </w:r>
        <w:r w:rsidR="006C3797">
          <w:rPr>
            <w:noProof/>
            <w:webHidden/>
          </w:rPr>
          <w:fldChar w:fldCharType="end"/>
        </w:r>
      </w:hyperlink>
    </w:p>
    <w:p w14:paraId="6B8B5CB6" w14:textId="46D83DBC" w:rsidR="006C3797" w:rsidRDefault="00E05923">
      <w:pPr>
        <w:pStyle w:val="Spistreci1"/>
        <w:rPr>
          <w:rFonts w:eastAsiaTheme="minorEastAsia"/>
          <w:b w:val="0"/>
          <w:noProof/>
          <w:lang w:eastAsia="pl-PL"/>
        </w:rPr>
      </w:pPr>
      <w:hyperlink w:anchor="_Toc101957820" w:history="1">
        <w:r w:rsidR="006C3797" w:rsidRPr="00E1335B">
          <w:rPr>
            <w:rStyle w:val="Hipercze"/>
            <w:rFonts w:ascii="Calibri" w:eastAsia="Times New Roman" w:hAnsi="Calibri" w:cstheme="minorHAnsi"/>
            <w:noProof/>
            <w:lang w:eastAsia="pl-PL"/>
          </w:rPr>
          <w:t>Rozdział 5.</w:t>
        </w:r>
        <w:r w:rsidR="006C3797">
          <w:rPr>
            <w:rFonts w:eastAsiaTheme="minorEastAsia"/>
            <w:b w:val="0"/>
            <w:noProof/>
            <w:lang w:eastAsia="pl-PL"/>
          </w:rPr>
          <w:tab/>
        </w:r>
        <w:r w:rsidR="006C3797" w:rsidRPr="00E1335B">
          <w:rPr>
            <w:rStyle w:val="Hipercze"/>
            <w:rFonts w:eastAsia="Times New Roman" w:cstheme="minorHAnsi"/>
            <w:noProof/>
            <w:lang w:eastAsia="pl-PL"/>
          </w:rPr>
          <w:t>Korekta wynagrodzenia zmiennego o ryzyko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_Toc101957820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3B3142">
          <w:rPr>
            <w:noProof/>
            <w:webHidden/>
          </w:rPr>
          <w:t>9</w:t>
        </w:r>
        <w:r w:rsidR="006C3797">
          <w:rPr>
            <w:noProof/>
            <w:webHidden/>
          </w:rPr>
          <w:fldChar w:fldCharType="end"/>
        </w:r>
      </w:hyperlink>
    </w:p>
    <w:p w14:paraId="5C7095EC" w14:textId="5649B36C" w:rsidR="006C3797" w:rsidRDefault="00E05923">
      <w:pPr>
        <w:pStyle w:val="Spistreci2"/>
        <w:rPr>
          <w:rFonts w:eastAsiaTheme="minorEastAsia"/>
          <w:noProof/>
          <w:lang w:eastAsia="pl-PL"/>
        </w:rPr>
      </w:pPr>
      <w:hyperlink w:anchor="_Toc101957821" w:history="1">
        <w:r w:rsidR="006C3797" w:rsidRPr="00E1335B">
          <w:rPr>
            <w:rStyle w:val="Hipercze"/>
            <w:rFonts w:cstheme="minorHAnsi"/>
            <w:noProof/>
          </w:rPr>
          <w:t>Oddział 1. Budżet na wynagrodzenia zmienne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_Toc101957821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3B3142">
          <w:rPr>
            <w:noProof/>
            <w:webHidden/>
          </w:rPr>
          <w:t>9</w:t>
        </w:r>
        <w:r w:rsidR="006C3797">
          <w:rPr>
            <w:noProof/>
            <w:webHidden/>
          </w:rPr>
          <w:fldChar w:fldCharType="end"/>
        </w:r>
      </w:hyperlink>
    </w:p>
    <w:p w14:paraId="66345679" w14:textId="7BC265E1" w:rsidR="006C3797" w:rsidRDefault="00E05923">
      <w:pPr>
        <w:pStyle w:val="Spistreci1"/>
        <w:rPr>
          <w:rFonts w:eastAsiaTheme="minorEastAsia"/>
          <w:b w:val="0"/>
          <w:noProof/>
          <w:lang w:eastAsia="pl-PL"/>
        </w:rPr>
      </w:pPr>
      <w:hyperlink w:anchor="_Toc101957822" w:history="1">
        <w:r w:rsidR="006C3797" w:rsidRPr="00E1335B">
          <w:rPr>
            <w:rStyle w:val="Hipercze"/>
            <w:rFonts w:ascii="Calibri" w:hAnsi="Calibri" w:cstheme="minorHAnsi"/>
            <w:noProof/>
          </w:rPr>
          <w:t>Rozdział 6.</w:t>
        </w:r>
        <w:r w:rsidR="006C3797">
          <w:rPr>
            <w:rFonts w:eastAsiaTheme="minorEastAsia"/>
            <w:b w:val="0"/>
            <w:noProof/>
            <w:lang w:eastAsia="pl-PL"/>
          </w:rPr>
          <w:tab/>
        </w:r>
        <w:r w:rsidR="006C3797" w:rsidRPr="00E1335B">
          <w:rPr>
            <w:rStyle w:val="Hipercze"/>
            <w:rFonts w:cstheme="minorHAnsi"/>
            <w:noProof/>
          </w:rPr>
          <w:t>Szczególne zasady wynagradzania pracowników, których działalność zawodowa  ma istotny wpływ na profil ryzyka Banku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_Toc101957822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3B3142">
          <w:rPr>
            <w:noProof/>
            <w:webHidden/>
          </w:rPr>
          <w:t>9</w:t>
        </w:r>
        <w:r w:rsidR="006C3797">
          <w:rPr>
            <w:noProof/>
            <w:webHidden/>
          </w:rPr>
          <w:fldChar w:fldCharType="end"/>
        </w:r>
      </w:hyperlink>
    </w:p>
    <w:p w14:paraId="00E654B3" w14:textId="7460847C" w:rsidR="006C3797" w:rsidRDefault="00E05923">
      <w:pPr>
        <w:pStyle w:val="Spistreci1"/>
        <w:rPr>
          <w:rFonts w:eastAsiaTheme="minorEastAsia"/>
          <w:b w:val="0"/>
          <w:noProof/>
          <w:lang w:eastAsia="pl-PL"/>
        </w:rPr>
      </w:pPr>
      <w:hyperlink w:anchor="_Toc101957823" w:history="1">
        <w:r w:rsidR="006C3797" w:rsidRPr="00E1335B">
          <w:rPr>
            <w:rStyle w:val="Hipercze"/>
            <w:rFonts w:ascii="Calibri" w:eastAsia="Times New Roman" w:hAnsi="Calibri" w:cstheme="minorHAnsi"/>
            <w:noProof/>
            <w:lang w:eastAsia="pl-PL"/>
          </w:rPr>
          <w:t>Rozdział 7.</w:t>
        </w:r>
        <w:r w:rsidR="006C3797">
          <w:rPr>
            <w:rFonts w:eastAsiaTheme="minorEastAsia"/>
            <w:b w:val="0"/>
            <w:noProof/>
            <w:lang w:eastAsia="pl-PL"/>
          </w:rPr>
          <w:tab/>
        </w:r>
        <w:r w:rsidR="006C3797" w:rsidRPr="00E1335B">
          <w:rPr>
            <w:rStyle w:val="Hipercze"/>
            <w:rFonts w:cstheme="minorHAnsi"/>
            <w:noProof/>
          </w:rPr>
          <w:t xml:space="preserve">Szczególne zasady wynagradzania pracowników </w:t>
        </w:r>
        <w:r w:rsidR="006C3797" w:rsidRPr="00E1335B">
          <w:rPr>
            <w:rStyle w:val="Hipercze"/>
            <w:rFonts w:eastAsia="Times New Roman" w:cstheme="minorHAnsi"/>
            <w:noProof/>
            <w:lang w:eastAsia="pl-PL"/>
          </w:rPr>
          <w:t>zaangażowanych w świadczenie usług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_Toc101957823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3B3142">
          <w:rPr>
            <w:noProof/>
            <w:webHidden/>
          </w:rPr>
          <w:t>10</w:t>
        </w:r>
        <w:r w:rsidR="006C3797">
          <w:rPr>
            <w:noProof/>
            <w:webHidden/>
          </w:rPr>
          <w:fldChar w:fldCharType="end"/>
        </w:r>
      </w:hyperlink>
    </w:p>
    <w:p w14:paraId="1F4C0A5B" w14:textId="43A6E576" w:rsidR="006C3797" w:rsidRDefault="00E05923">
      <w:pPr>
        <w:pStyle w:val="Spistreci1"/>
        <w:rPr>
          <w:rFonts w:eastAsiaTheme="minorEastAsia"/>
          <w:b w:val="0"/>
          <w:noProof/>
          <w:lang w:eastAsia="pl-PL"/>
        </w:rPr>
      </w:pPr>
      <w:hyperlink w:anchor="_Toc101957824" w:history="1">
        <w:r w:rsidR="006C3797" w:rsidRPr="00E1335B">
          <w:rPr>
            <w:rStyle w:val="Hipercze"/>
            <w:rFonts w:ascii="Calibri" w:hAnsi="Calibri" w:cs="Calibri"/>
            <w:noProof/>
          </w:rPr>
          <w:t>Rozdział 8.</w:t>
        </w:r>
        <w:r w:rsidR="006C3797">
          <w:rPr>
            <w:rFonts w:eastAsiaTheme="minorEastAsia"/>
            <w:b w:val="0"/>
            <w:noProof/>
            <w:lang w:eastAsia="pl-PL"/>
          </w:rPr>
          <w:tab/>
        </w:r>
        <w:r w:rsidR="006C3797" w:rsidRPr="00E1335B">
          <w:rPr>
            <w:rStyle w:val="Hipercze"/>
            <w:rFonts w:ascii="Calibri" w:hAnsi="Calibri" w:cs="Calibri"/>
            <w:noProof/>
          </w:rPr>
          <w:t>Postanowienia końcowe</w:t>
        </w:r>
        <w:r w:rsidR="006C3797">
          <w:rPr>
            <w:noProof/>
            <w:webHidden/>
          </w:rPr>
          <w:tab/>
        </w:r>
        <w:r w:rsidR="006C3797">
          <w:rPr>
            <w:noProof/>
            <w:webHidden/>
          </w:rPr>
          <w:fldChar w:fldCharType="begin"/>
        </w:r>
        <w:r w:rsidR="006C3797">
          <w:rPr>
            <w:noProof/>
            <w:webHidden/>
          </w:rPr>
          <w:instrText xml:space="preserve"> PAGEREF _Toc101957824 \h </w:instrText>
        </w:r>
        <w:r w:rsidR="006C3797">
          <w:rPr>
            <w:noProof/>
            <w:webHidden/>
          </w:rPr>
        </w:r>
        <w:r w:rsidR="006C3797">
          <w:rPr>
            <w:noProof/>
            <w:webHidden/>
          </w:rPr>
          <w:fldChar w:fldCharType="separate"/>
        </w:r>
        <w:r w:rsidR="003B3142">
          <w:rPr>
            <w:noProof/>
            <w:webHidden/>
          </w:rPr>
          <w:t>10</w:t>
        </w:r>
        <w:r w:rsidR="006C3797">
          <w:rPr>
            <w:noProof/>
            <w:webHidden/>
          </w:rPr>
          <w:fldChar w:fldCharType="end"/>
        </w:r>
      </w:hyperlink>
    </w:p>
    <w:p w14:paraId="5C6CA219" w14:textId="433608CC" w:rsidR="007144B8" w:rsidRPr="00483CF5" w:rsidRDefault="007144B8">
      <w:pPr>
        <w:pStyle w:val="Spistreci1"/>
        <w:rPr>
          <w:u w:val="single"/>
          <w:lang w:eastAsia="pl-PL"/>
        </w:rPr>
      </w:pPr>
      <w:r w:rsidRPr="00483CF5">
        <w:rPr>
          <w:lang w:eastAsia="pl-PL"/>
        </w:rPr>
        <w:fldChar w:fldCharType="end"/>
      </w:r>
    </w:p>
    <w:p w14:paraId="22A280A1" w14:textId="77777777" w:rsidR="00342627" w:rsidRPr="00483CF5" w:rsidRDefault="00342627" w:rsidP="008542C0">
      <w:pPr>
        <w:spacing w:before="120" w:after="120" w:line="240" w:lineRule="auto"/>
        <w:jc w:val="center"/>
        <w:rPr>
          <w:rFonts w:cstheme="minorHAnsi"/>
          <w:u w:val="single"/>
          <w:lang w:eastAsia="pl-PL"/>
        </w:rPr>
      </w:pPr>
    </w:p>
    <w:p w14:paraId="4F2D65E0" w14:textId="77777777" w:rsidR="00342627" w:rsidRPr="00483CF5" w:rsidRDefault="00342627" w:rsidP="008542C0">
      <w:pPr>
        <w:spacing w:before="120" w:after="120" w:line="240" w:lineRule="auto"/>
        <w:jc w:val="center"/>
        <w:rPr>
          <w:rFonts w:cstheme="minorHAnsi"/>
          <w:u w:val="single"/>
          <w:lang w:eastAsia="pl-PL"/>
        </w:rPr>
      </w:pPr>
    </w:p>
    <w:p w14:paraId="4E937385" w14:textId="77777777" w:rsidR="007144B8" w:rsidRPr="00483CF5" w:rsidRDefault="004A7A78" w:rsidP="008542C0">
      <w:pPr>
        <w:spacing w:before="120" w:after="120" w:line="240" w:lineRule="auto"/>
        <w:jc w:val="center"/>
        <w:rPr>
          <w:rFonts w:cstheme="minorHAnsi"/>
          <w:u w:val="single"/>
          <w:lang w:eastAsia="pl-PL"/>
        </w:rPr>
      </w:pPr>
      <w:r w:rsidRPr="00483CF5">
        <w:rPr>
          <w:rFonts w:cstheme="minorHAnsi"/>
          <w:u w:val="single"/>
          <w:lang w:eastAsia="pl-PL"/>
        </w:rPr>
        <w:br w:type="page"/>
      </w:r>
    </w:p>
    <w:p w14:paraId="09C39860" w14:textId="77777777" w:rsidR="007144B8" w:rsidRPr="00483CF5" w:rsidRDefault="007144B8" w:rsidP="003D0BDF">
      <w:pPr>
        <w:pStyle w:val="Nagwek1"/>
        <w:rPr>
          <w:rFonts w:asciiTheme="minorHAnsi" w:eastAsia="Times New Roman" w:hAnsiTheme="minorHAnsi" w:cstheme="minorHAnsi"/>
          <w:kern w:val="32"/>
          <w:sz w:val="22"/>
          <w:szCs w:val="22"/>
          <w:lang w:eastAsia="pl-PL"/>
        </w:rPr>
      </w:pPr>
      <w:bookmarkStart w:id="0" w:name="_Toc101957808"/>
      <w:r w:rsidRPr="00483CF5">
        <w:rPr>
          <w:rFonts w:asciiTheme="minorHAnsi" w:eastAsia="Times New Roman" w:hAnsiTheme="minorHAnsi" w:cstheme="minorHAnsi"/>
          <w:kern w:val="32"/>
          <w:sz w:val="22"/>
          <w:szCs w:val="22"/>
          <w:lang w:eastAsia="pl-PL"/>
        </w:rPr>
        <w:lastRenderedPageBreak/>
        <w:t>Postanowienia ogólne</w:t>
      </w:r>
      <w:bookmarkEnd w:id="0"/>
    </w:p>
    <w:p w14:paraId="2FB9534C" w14:textId="77777777" w:rsidR="008542C0" w:rsidRPr="006C3797" w:rsidRDefault="008542C0" w:rsidP="008542C0">
      <w:pPr>
        <w:spacing w:before="120" w:after="120" w:line="240" w:lineRule="auto"/>
        <w:jc w:val="center"/>
        <w:rPr>
          <w:rFonts w:cstheme="minorHAnsi"/>
          <w:b/>
        </w:rPr>
      </w:pPr>
      <w:r w:rsidRPr="006C3797">
        <w:rPr>
          <w:rFonts w:cstheme="minorHAnsi"/>
          <w:b/>
          <w:bCs/>
        </w:rPr>
        <w:t xml:space="preserve">§ </w:t>
      </w:r>
      <w:r w:rsidRPr="006C3797">
        <w:rPr>
          <w:rFonts w:cstheme="minorHAnsi"/>
          <w:b/>
        </w:rPr>
        <w:t>1.</w:t>
      </w:r>
    </w:p>
    <w:p w14:paraId="73BD5BD4" w14:textId="517F5D5A" w:rsidR="008352EB" w:rsidRPr="006C3797" w:rsidRDefault="008352EB" w:rsidP="00B24163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both"/>
        <w:rPr>
          <w:rFonts w:cstheme="minorHAnsi"/>
          <w:spacing w:val="-2"/>
        </w:rPr>
      </w:pPr>
      <w:r w:rsidRPr="006C3797">
        <w:rPr>
          <w:rFonts w:cstheme="minorHAnsi"/>
          <w:spacing w:val="-2"/>
        </w:rPr>
        <w:t xml:space="preserve">Polityka </w:t>
      </w:r>
      <w:r w:rsidR="00622D02" w:rsidRPr="006C3797">
        <w:rPr>
          <w:rFonts w:cstheme="minorHAnsi"/>
          <w:spacing w:val="-2"/>
        </w:rPr>
        <w:t xml:space="preserve">wynagrodzeń Banku </w:t>
      </w:r>
      <w:r w:rsidR="001D6112" w:rsidRPr="006C3797">
        <w:rPr>
          <w:rFonts w:cstheme="minorHAnsi"/>
          <w:spacing w:val="-2"/>
        </w:rPr>
        <w:t>Spółdzielczego w</w:t>
      </w:r>
      <w:r w:rsidR="00D45661" w:rsidRPr="006C3797">
        <w:rPr>
          <w:rFonts w:cstheme="minorHAnsi"/>
          <w:spacing w:val="-2"/>
        </w:rPr>
        <w:t xml:space="preserve"> Legionowie</w:t>
      </w:r>
      <w:r w:rsidR="00622D02" w:rsidRPr="006C3797">
        <w:rPr>
          <w:rFonts w:cstheme="minorHAnsi"/>
          <w:spacing w:val="-2"/>
        </w:rPr>
        <w:t xml:space="preserve">, zwana dalej </w:t>
      </w:r>
      <w:r w:rsidR="007A3550" w:rsidRPr="006C3797">
        <w:rPr>
          <w:rFonts w:cstheme="minorHAnsi"/>
          <w:spacing w:val="-2"/>
        </w:rPr>
        <w:t>„</w:t>
      </w:r>
      <w:r w:rsidR="00622D02" w:rsidRPr="006C3797">
        <w:rPr>
          <w:rFonts w:cstheme="minorHAnsi"/>
          <w:spacing w:val="-2"/>
        </w:rPr>
        <w:t>Polityką</w:t>
      </w:r>
      <w:r w:rsidR="007A3550" w:rsidRPr="006C3797">
        <w:rPr>
          <w:rFonts w:cstheme="minorHAnsi"/>
          <w:spacing w:val="-2"/>
        </w:rPr>
        <w:t>”</w:t>
      </w:r>
      <w:r w:rsidR="00622D02" w:rsidRPr="006C3797">
        <w:rPr>
          <w:rFonts w:cstheme="minorHAnsi"/>
          <w:spacing w:val="-2"/>
        </w:rPr>
        <w:t>,</w:t>
      </w:r>
      <w:r w:rsidR="00975025" w:rsidRPr="006C3797">
        <w:rPr>
          <w:rFonts w:cstheme="minorHAnsi"/>
          <w:spacing w:val="-2"/>
        </w:rPr>
        <w:t xml:space="preserve"> </w:t>
      </w:r>
      <w:r w:rsidRPr="006C3797">
        <w:rPr>
          <w:rFonts w:cstheme="minorHAnsi"/>
          <w:spacing w:val="-2"/>
        </w:rPr>
        <w:t>o</w:t>
      </w:r>
      <w:r w:rsidR="007479F2" w:rsidRPr="006C3797">
        <w:rPr>
          <w:rFonts w:cstheme="minorHAnsi"/>
          <w:spacing w:val="-2"/>
        </w:rPr>
        <w:t>pracowana została na podstawie:</w:t>
      </w:r>
    </w:p>
    <w:p w14:paraId="0A86442D" w14:textId="7AF19921" w:rsidR="008F3408" w:rsidRPr="006C3797" w:rsidRDefault="00061354" w:rsidP="00B241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cstheme="minorHAnsi"/>
        </w:rPr>
      </w:pPr>
      <w:r w:rsidRPr="006C3797">
        <w:rPr>
          <w:rFonts w:cstheme="minorHAnsi"/>
        </w:rPr>
        <w:t>Rozporządzenia Parlamentu Europejskiego i Rady (UE)</w:t>
      </w:r>
      <w:r w:rsidR="00064E02" w:rsidRPr="006C3797">
        <w:rPr>
          <w:rFonts w:cstheme="minorHAnsi"/>
        </w:rPr>
        <w:t xml:space="preserve"> </w:t>
      </w:r>
      <w:r w:rsidRPr="006C3797">
        <w:rPr>
          <w:rFonts w:cstheme="minorHAnsi"/>
        </w:rPr>
        <w:t xml:space="preserve">nr 575/2013 </w:t>
      </w:r>
      <w:r w:rsidR="007805F3" w:rsidRPr="006C3797">
        <w:rPr>
          <w:rFonts w:cstheme="minorHAnsi"/>
        </w:rPr>
        <w:t xml:space="preserve">(CRR) </w:t>
      </w:r>
      <w:r w:rsidRPr="006C3797">
        <w:rPr>
          <w:rFonts w:cstheme="minorHAnsi"/>
        </w:rPr>
        <w:t xml:space="preserve">oraz </w:t>
      </w:r>
      <w:r w:rsidR="007805F3" w:rsidRPr="006C3797">
        <w:rPr>
          <w:rFonts w:cstheme="minorHAnsi"/>
        </w:rPr>
        <w:t xml:space="preserve">przepisów implementujących w Polsce </w:t>
      </w:r>
      <w:r w:rsidRPr="006C3797">
        <w:rPr>
          <w:rFonts w:cstheme="minorHAnsi"/>
        </w:rPr>
        <w:t>Dyrektyw</w:t>
      </w:r>
      <w:r w:rsidR="007805F3" w:rsidRPr="006C3797">
        <w:rPr>
          <w:rFonts w:cstheme="minorHAnsi"/>
        </w:rPr>
        <w:t>ę</w:t>
      </w:r>
      <w:r w:rsidRPr="006C3797">
        <w:rPr>
          <w:rFonts w:cstheme="minorHAnsi"/>
        </w:rPr>
        <w:t xml:space="preserve"> Parlamentu Europejskiego i Rady 2013/36/UE</w:t>
      </w:r>
      <w:r w:rsidR="007805F3" w:rsidRPr="006C3797">
        <w:rPr>
          <w:rFonts w:cstheme="minorHAnsi"/>
        </w:rPr>
        <w:t xml:space="preserve"> (CRD</w:t>
      </w:r>
      <w:r w:rsidR="008F3408" w:rsidRPr="006C3797">
        <w:rPr>
          <w:rFonts w:cstheme="minorHAnsi"/>
        </w:rPr>
        <w:t xml:space="preserve"> </w:t>
      </w:r>
      <w:r w:rsidR="007805F3" w:rsidRPr="006C3797">
        <w:rPr>
          <w:rFonts w:cstheme="minorHAnsi"/>
        </w:rPr>
        <w:t>IV)</w:t>
      </w:r>
      <w:r w:rsidR="008F3408" w:rsidRPr="006C3797">
        <w:rPr>
          <w:rFonts w:cstheme="minorHAnsi"/>
        </w:rPr>
        <w:t xml:space="preserve"> oraz Dyrektywę Parlamentu Europejskiego i Rady 2019/878 (CRD V);</w:t>
      </w:r>
    </w:p>
    <w:p w14:paraId="2FDCC0D1" w14:textId="5E8EA3D3" w:rsidR="00061354" w:rsidRPr="006C3797" w:rsidRDefault="007805F3" w:rsidP="00B241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contextualSpacing w:val="0"/>
        <w:jc w:val="both"/>
        <w:rPr>
          <w:rFonts w:cstheme="minorHAnsi"/>
        </w:rPr>
      </w:pPr>
      <w:r w:rsidRPr="006C3797">
        <w:rPr>
          <w:rFonts w:cstheme="minorHAnsi"/>
        </w:rPr>
        <w:t xml:space="preserve">przepisów implementujących w Polsce </w:t>
      </w:r>
      <w:r w:rsidR="00061354" w:rsidRPr="006C3797">
        <w:rPr>
          <w:rFonts w:cstheme="minorHAnsi"/>
        </w:rPr>
        <w:t>dyrektyw</w:t>
      </w:r>
      <w:r w:rsidRPr="006C3797">
        <w:rPr>
          <w:rFonts w:cstheme="minorHAnsi"/>
        </w:rPr>
        <w:t>ę</w:t>
      </w:r>
      <w:r w:rsidR="00061354" w:rsidRPr="006C3797">
        <w:rPr>
          <w:rFonts w:cstheme="minorHAnsi"/>
        </w:rPr>
        <w:t xml:space="preserve"> Parlamentu Europejskiego i Rady 2014/65/UE z dnia 15 maja 2014 r. w sprawie rynków instrumentów finansowych oraz zmieniając</w:t>
      </w:r>
      <w:r w:rsidR="005C1559" w:rsidRPr="006C3797">
        <w:rPr>
          <w:rFonts w:cstheme="minorHAnsi"/>
        </w:rPr>
        <w:t>ej</w:t>
      </w:r>
      <w:r w:rsidR="00061354" w:rsidRPr="006C3797">
        <w:rPr>
          <w:rFonts w:cstheme="minorHAnsi"/>
        </w:rPr>
        <w:t xml:space="preserve"> dyrektywę 2002/92/WE i dyrektywę 2011/61/UE (tzw. dyrektywa MIFID II)</w:t>
      </w:r>
      <w:r w:rsidR="00340D44" w:rsidRPr="006C3797">
        <w:rPr>
          <w:rFonts w:cstheme="minorHAnsi"/>
        </w:rPr>
        <w:t>;</w:t>
      </w:r>
    </w:p>
    <w:p w14:paraId="5543400A" w14:textId="519B80E7" w:rsidR="00061354" w:rsidRPr="006C3797" w:rsidRDefault="00CB26C0" w:rsidP="00B24163">
      <w:pPr>
        <w:numPr>
          <w:ilvl w:val="0"/>
          <w:numId w:val="5"/>
        </w:numPr>
        <w:spacing w:before="120"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</w:rPr>
        <w:t>U</w:t>
      </w:r>
      <w:r w:rsidR="00061354" w:rsidRPr="006C3797">
        <w:rPr>
          <w:rFonts w:cstheme="minorHAnsi"/>
        </w:rPr>
        <w:t>stawy z dnia 29 sierpnia 1997 r. - Prawo bankowe</w:t>
      </w:r>
      <w:r w:rsidR="00340D44" w:rsidRPr="006C3797">
        <w:rPr>
          <w:rFonts w:cstheme="minorHAnsi"/>
        </w:rPr>
        <w:t>;</w:t>
      </w:r>
    </w:p>
    <w:p w14:paraId="0FFCA96F" w14:textId="55AD0551" w:rsidR="00061354" w:rsidRPr="006C3797" w:rsidRDefault="00CB26C0" w:rsidP="00B24163">
      <w:pPr>
        <w:numPr>
          <w:ilvl w:val="0"/>
          <w:numId w:val="5"/>
        </w:numPr>
        <w:spacing w:before="120"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</w:rPr>
        <w:t>U</w:t>
      </w:r>
      <w:r w:rsidR="00061354" w:rsidRPr="006C3797">
        <w:rPr>
          <w:rFonts w:cstheme="minorHAnsi"/>
        </w:rPr>
        <w:t>stawy z dnia 26 czerwca 1974 r. - Kodeks pracy</w:t>
      </w:r>
      <w:r w:rsidR="00340D44" w:rsidRPr="006C3797">
        <w:rPr>
          <w:rFonts w:cstheme="minorHAnsi"/>
        </w:rPr>
        <w:t>;</w:t>
      </w:r>
    </w:p>
    <w:p w14:paraId="6AFCCD15" w14:textId="69B1E7BD" w:rsidR="00061354" w:rsidRPr="006C3797" w:rsidRDefault="00CB26C0" w:rsidP="00B24163">
      <w:pPr>
        <w:numPr>
          <w:ilvl w:val="0"/>
          <w:numId w:val="5"/>
        </w:numPr>
        <w:spacing w:before="120"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</w:rPr>
        <w:t>U</w:t>
      </w:r>
      <w:r w:rsidR="00061354" w:rsidRPr="006C3797">
        <w:rPr>
          <w:rFonts w:cstheme="minorHAnsi"/>
        </w:rPr>
        <w:t>stawy z dnia 29 lipca 2005 r. o obrocie instrumentami finansowymi</w:t>
      </w:r>
      <w:r w:rsidR="00340D44" w:rsidRPr="006C3797">
        <w:rPr>
          <w:rFonts w:cstheme="minorHAnsi"/>
        </w:rPr>
        <w:t>;</w:t>
      </w:r>
    </w:p>
    <w:p w14:paraId="7F547C96" w14:textId="69142C67" w:rsidR="00061354" w:rsidRPr="006C3797" w:rsidRDefault="00CB26C0" w:rsidP="00B24163">
      <w:pPr>
        <w:pStyle w:val="Akapitzlist"/>
        <w:numPr>
          <w:ilvl w:val="0"/>
          <w:numId w:val="5"/>
        </w:numPr>
        <w:spacing w:before="120" w:after="120" w:line="240" w:lineRule="auto"/>
        <w:ind w:left="851" w:hanging="425"/>
        <w:contextualSpacing w:val="0"/>
        <w:jc w:val="both"/>
        <w:rPr>
          <w:rFonts w:cstheme="minorHAnsi"/>
        </w:rPr>
      </w:pPr>
      <w:r w:rsidRPr="006C3797">
        <w:rPr>
          <w:rFonts w:cstheme="minorHAnsi"/>
        </w:rPr>
        <w:t>U</w:t>
      </w:r>
      <w:r w:rsidR="00061354" w:rsidRPr="006C3797">
        <w:rPr>
          <w:rFonts w:cstheme="minorHAnsi"/>
          <w:bCs/>
        </w:rPr>
        <w:t>stawy z dnia 23 marca 2017 r. o kredycie hipotecznym oraz o nadzorze nad pośrednikami kredytu hipotecznego i agentami</w:t>
      </w:r>
      <w:r w:rsidR="00340D44" w:rsidRPr="006C3797">
        <w:rPr>
          <w:rFonts w:cstheme="minorHAnsi"/>
          <w:bCs/>
          <w:kern w:val="36"/>
        </w:rPr>
        <w:t>;</w:t>
      </w:r>
    </w:p>
    <w:p w14:paraId="673C7E4D" w14:textId="45F85717" w:rsidR="00061354" w:rsidRPr="006C3797" w:rsidRDefault="00CB26C0" w:rsidP="00B24163">
      <w:pPr>
        <w:numPr>
          <w:ilvl w:val="0"/>
          <w:numId w:val="5"/>
        </w:numPr>
        <w:spacing w:before="120"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</w:rPr>
        <w:t>R</w:t>
      </w:r>
      <w:r w:rsidR="00061354" w:rsidRPr="006C3797">
        <w:rPr>
          <w:rFonts w:cstheme="minorHAnsi"/>
        </w:rPr>
        <w:t>ozporządzenia Mini</w:t>
      </w:r>
      <w:r w:rsidR="002216D5" w:rsidRPr="006C3797">
        <w:rPr>
          <w:rFonts w:cstheme="minorHAnsi"/>
        </w:rPr>
        <w:t>stra Finansów</w:t>
      </w:r>
      <w:r w:rsidR="006B4B16" w:rsidRPr="006C3797">
        <w:rPr>
          <w:rFonts w:cstheme="minorHAnsi"/>
        </w:rPr>
        <w:t>, Funduszy i Polityki Regionalnej z dnia 8</w:t>
      </w:r>
      <w:r w:rsidR="00061354" w:rsidRPr="006C3797">
        <w:rPr>
          <w:rFonts w:cstheme="minorHAnsi"/>
        </w:rPr>
        <w:t xml:space="preserve"> </w:t>
      </w:r>
      <w:r w:rsidR="002216D5" w:rsidRPr="006C3797">
        <w:rPr>
          <w:rFonts w:cstheme="minorHAnsi"/>
        </w:rPr>
        <w:t>czerwca 2021</w:t>
      </w:r>
      <w:r w:rsidR="00061354" w:rsidRPr="006C3797">
        <w:rPr>
          <w:rFonts w:cstheme="minorHAnsi"/>
        </w:rPr>
        <w:t xml:space="preserve"> r. w sprawie systemu zarządzania ryzykiem</w:t>
      </w:r>
      <w:r w:rsidR="002216D5" w:rsidRPr="006C3797">
        <w:rPr>
          <w:rFonts w:cstheme="minorHAnsi"/>
        </w:rPr>
        <w:t xml:space="preserve"> i systemu kontroli wewnętrznej oraz</w:t>
      </w:r>
      <w:r w:rsidR="00061354" w:rsidRPr="006C3797">
        <w:rPr>
          <w:rFonts w:cstheme="minorHAnsi"/>
        </w:rPr>
        <w:t xml:space="preserve"> polityki wynagrodzeń w bankach</w:t>
      </w:r>
      <w:r w:rsidR="00B737FB" w:rsidRPr="006C3797">
        <w:rPr>
          <w:rFonts w:cstheme="minorHAnsi"/>
        </w:rPr>
        <w:t xml:space="preserve"> (dalej: </w:t>
      </w:r>
      <w:r w:rsidR="00B737FB" w:rsidRPr="006C3797">
        <w:rPr>
          <w:rFonts w:cstheme="minorHAnsi"/>
          <w:spacing w:val="-2"/>
        </w:rPr>
        <w:t>Rozporz</w:t>
      </w:r>
      <w:r w:rsidR="00B737FB" w:rsidRPr="006C3797">
        <w:rPr>
          <w:rFonts w:cstheme="minorHAnsi" w:hint="eastAsia"/>
          <w:spacing w:val="-2"/>
        </w:rPr>
        <w:t>ą</w:t>
      </w:r>
      <w:r w:rsidR="00B737FB" w:rsidRPr="006C3797">
        <w:rPr>
          <w:rFonts w:cstheme="minorHAnsi"/>
          <w:spacing w:val="-2"/>
        </w:rPr>
        <w:t>dzenie MFFiPR)</w:t>
      </w:r>
      <w:r w:rsidR="00340D44" w:rsidRPr="006C3797">
        <w:rPr>
          <w:rFonts w:cstheme="minorHAnsi"/>
        </w:rPr>
        <w:t>;</w:t>
      </w:r>
    </w:p>
    <w:p w14:paraId="16C63AE6" w14:textId="6331E7DE" w:rsidR="00061354" w:rsidRPr="006C3797" w:rsidRDefault="00CB26C0" w:rsidP="00B24163">
      <w:pPr>
        <w:pStyle w:val="Default"/>
        <w:numPr>
          <w:ilvl w:val="0"/>
          <w:numId w:val="5"/>
        </w:numPr>
        <w:spacing w:before="120" w:after="120"/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C3797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061354" w:rsidRPr="006C3797">
        <w:rPr>
          <w:rFonts w:asciiTheme="minorHAnsi" w:hAnsiTheme="minorHAnsi" w:cstheme="minorHAnsi"/>
          <w:color w:val="auto"/>
          <w:sz w:val="22"/>
          <w:szCs w:val="22"/>
        </w:rPr>
        <w:t>ytycznych EBA z 27 czerwca 2016 r. dotyczących prawidłowej polityki wynagrodzeń</w:t>
      </w:r>
      <w:r w:rsidR="00340D44" w:rsidRPr="006C3797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DCE44BF" w14:textId="687AB625" w:rsidR="00771A74" w:rsidRPr="006C3797" w:rsidRDefault="00CB26C0" w:rsidP="00B24163">
      <w:pPr>
        <w:pStyle w:val="Default"/>
        <w:numPr>
          <w:ilvl w:val="0"/>
          <w:numId w:val="5"/>
        </w:numPr>
        <w:spacing w:before="120" w:after="120"/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C3797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061354" w:rsidRPr="006C3797">
        <w:rPr>
          <w:rFonts w:asciiTheme="minorHAnsi" w:hAnsiTheme="minorHAnsi" w:cstheme="minorHAnsi"/>
          <w:color w:val="auto"/>
          <w:sz w:val="22"/>
          <w:szCs w:val="22"/>
        </w:rPr>
        <w:t>ytycznych EBA z 13 grudnia 2016 r. dotyczących polityki i praktyk w zakresie wynagrodzeń w odniesieniu do sprzedaży i dystrybucji detalicznych produktów i usług bankowych</w:t>
      </w:r>
      <w:r w:rsidR="00340D44" w:rsidRPr="006C3797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7D304041" w14:textId="46AAA167" w:rsidR="00771A74" w:rsidRPr="006C3797" w:rsidRDefault="00CB26C0" w:rsidP="00B24163">
      <w:pPr>
        <w:pStyle w:val="Default"/>
        <w:numPr>
          <w:ilvl w:val="0"/>
          <w:numId w:val="5"/>
        </w:numPr>
        <w:spacing w:before="120" w:after="120"/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C3797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771A74" w:rsidRPr="006C3797">
        <w:rPr>
          <w:rFonts w:asciiTheme="minorHAnsi" w:hAnsiTheme="minorHAnsi" w:cstheme="minorHAnsi"/>
          <w:color w:val="auto"/>
          <w:sz w:val="22"/>
          <w:szCs w:val="22"/>
        </w:rPr>
        <w:t xml:space="preserve">yrektywy Parlamentu Europejskiego i Rady (UE) 2016/97 z dnia 20 stycznia </w:t>
      </w:r>
      <w:r w:rsidR="005C1559" w:rsidRPr="006C3797">
        <w:rPr>
          <w:rFonts w:asciiTheme="minorHAnsi" w:hAnsiTheme="minorHAnsi" w:cstheme="minorHAnsi"/>
          <w:color w:val="auto"/>
          <w:sz w:val="22"/>
          <w:szCs w:val="22"/>
        </w:rPr>
        <w:br/>
      </w:r>
      <w:r w:rsidR="00771A74" w:rsidRPr="006C3797">
        <w:rPr>
          <w:rFonts w:asciiTheme="minorHAnsi" w:hAnsiTheme="minorHAnsi" w:cstheme="minorHAnsi"/>
          <w:color w:val="auto"/>
          <w:sz w:val="22"/>
          <w:szCs w:val="22"/>
        </w:rPr>
        <w:t>2016 r. w sprawie dystrybucji ubezpieczeń;</w:t>
      </w:r>
    </w:p>
    <w:p w14:paraId="3F1DFAE5" w14:textId="1AFEBED7" w:rsidR="00061354" w:rsidRPr="006C3797" w:rsidRDefault="00CB26C0" w:rsidP="00B24163">
      <w:pPr>
        <w:pStyle w:val="Default"/>
        <w:numPr>
          <w:ilvl w:val="0"/>
          <w:numId w:val="5"/>
        </w:numPr>
        <w:spacing w:before="120" w:after="120"/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C3797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061354" w:rsidRPr="006C3797">
        <w:rPr>
          <w:rFonts w:asciiTheme="minorHAnsi" w:hAnsiTheme="minorHAnsi" w:cstheme="minorHAnsi"/>
          <w:color w:val="auto"/>
          <w:sz w:val="22"/>
          <w:szCs w:val="22"/>
        </w:rPr>
        <w:t>ytycznych ESMA z 11 lipca 2016 r. dotyczących praktyk sprzedaży krzyżowej</w:t>
      </w:r>
      <w:r w:rsidR="00340D44" w:rsidRPr="006C3797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7C2EF1A3" w14:textId="303FFD85" w:rsidR="00061354" w:rsidRPr="006C3797" w:rsidRDefault="00CB26C0" w:rsidP="00B24163">
      <w:pPr>
        <w:pStyle w:val="Akapitzlist"/>
        <w:numPr>
          <w:ilvl w:val="0"/>
          <w:numId w:val="5"/>
        </w:numPr>
        <w:spacing w:before="120" w:after="120" w:line="240" w:lineRule="auto"/>
        <w:ind w:left="851" w:hanging="425"/>
        <w:contextualSpacing w:val="0"/>
        <w:jc w:val="both"/>
        <w:rPr>
          <w:rFonts w:cstheme="minorHAnsi"/>
        </w:rPr>
      </w:pPr>
      <w:r w:rsidRPr="006C3797">
        <w:rPr>
          <w:rFonts w:cstheme="minorHAnsi"/>
        </w:rPr>
        <w:t>U</w:t>
      </w:r>
      <w:r w:rsidR="00061354" w:rsidRPr="006C3797">
        <w:rPr>
          <w:rFonts w:cstheme="minorHAnsi"/>
        </w:rPr>
        <w:t>chwały Nr 218/2014 Komisji Nadzoru Finansowego z dnia 22 lipca 2014 r. w sprawie wydania „Zasad</w:t>
      </w:r>
      <w:r w:rsidR="00975025" w:rsidRPr="006C3797">
        <w:rPr>
          <w:rFonts w:cstheme="minorHAnsi"/>
        </w:rPr>
        <w:t xml:space="preserve"> </w:t>
      </w:r>
      <w:r w:rsidR="00061354" w:rsidRPr="006C3797">
        <w:rPr>
          <w:rFonts w:cstheme="minorHAnsi"/>
        </w:rPr>
        <w:t>ładu korporacyjnego dla instytucji nadzorowanych”</w:t>
      </w:r>
      <w:r w:rsidR="00340D44" w:rsidRPr="006C3797">
        <w:rPr>
          <w:rFonts w:cstheme="minorHAnsi"/>
        </w:rPr>
        <w:t>;</w:t>
      </w:r>
    </w:p>
    <w:p w14:paraId="7B797FCD" w14:textId="0F201AD1" w:rsidR="00B37BC7" w:rsidRPr="006C3797" w:rsidRDefault="00061354" w:rsidP="00B24163">
      <w:pPr>
        <w:pStyle w:val="Akapitzlist"/>
        <w:numPr>
          <w:ilvl w:val="0"/>
          <w:numId w:val="5"/>
        </w:numPr>
        <w:spacing w:before="120" w:after="120" w:line="240" w:lineRule="auto"/>
        <w:ind w:left="851" w:hanging="425"/>
        <w:contextualSpacing w:val="0"/>
        <w:jc w:val="both"/>
        <w:rPr>
          <w:rFonts w:cstheme="minorHAnsi"/>
        </w:rPr>
      </w:pPr>
      <w:r w:rsidRPr="006C3797">
        <w:rPr>
          <w:rFonts w:cstheme="minorHAnsi"/>
        </w:rPr>
        <w:t xml:space="preserve">Rekomendacji H Komisji Nadzoru Finansowego dotyczącej systemu kontroli wewnętrznej </w:t>
      </w:r>
      <w:r w:rsidR="00CB26C0" w:rsidRPr="006C3797">
        <w:rPr>
          <w:rFonts w:cstheme="minorHAnsi"/>
        </w:rPr>
        <w:br/>
      </w:r>
      <w:r w:rsidRPr="006C3797">
        <w:rPr>
          <w:rFonts w:cstheme="minorHAnsi"/>
        </w:rPr>
        <w:t>w bankach</w:t>
      </w:r>
      <w:r w:rsidR="008F3408" w:rsidRPr="006C3797">
        <w:rPr>
          <w:rFonts w:cstheme="minorHAnsi"/>
        </w:rPr>
        <w:t>;</w:t>
      </w:r>
    </w:p>
    <w:p w14:paraId="0485EE7D" w14:textId="4D56548A" w:rsidR="008F3408" w:rsidRPr="006C3797" w:rsidRDefault="008F3408" w:rsidP="00B24163">
      <w:pPr>
        <w:pStyle w:val="Akapitzlist"/>
        <w:numPr>
          <w:ilvl w:val="0"/>
          <w:numId w:val="5"/>
        </w:numPr>
        <w:spacing w:before="120" w:after="120" w:line="240" w:lineRule="auto"/>
        <w:ind w:left="851" w:hanging="425"/>
        <w:contextualSpacing w:val="0"/>
        <w:jc w:val="both"/>
        <w:rPr>
          <w:rFonts w:cstheme="minorHAnsi"/>
        </w:rPr>
      </w:pPr>
      <w:r w:rsidRPr="006C3797">
        <w:rPr>
          <w:rFonts w:cstheme="minorHAnsi"/>
        </w:rPr>
        <w:t xml:space="preserve">Rekomendacji S Komisji Nadzoru Finansowego </w:t>
      </w:r>
      <w:r w:rsidR="008F2580" w:rsidRPr="006C3797">
        <w:rPr>
          <w:rFonts w:cstheme="minorHAnsi"/>
        </w:rPr>
        <w:t>dotyczącej dobrych praktyk w </w:t>
      </w:r>
      <w:r w:rsidRPr="006C3797">
        <w:rPr>
          <w:rFonts w:cstheme="minorHAnsi"/>
        </w:rPr>
        <w:t>zakresie ekspozycji kredytowych zabezpieczonych hipotecznie;</w:t>
      </w:r>
    </w:p>
    <w:p w14:paraId="211AEE7B" w14:textId="5DB18C4E" w:rsidR="008F3408" w:rsidRPr="006C3797" w:rsidRDefault="008F3408" w:rsidP="00B24163">
      <w:pPr>
        <w:pStyle w:val="Akapitzlist"/>
        <w:numPr>
          <w:ilvl w:val="0"/>
          <w:numId w:val="5"/>
        </w:numPr>
        <w:spacing w:before="120" w:after="120" w:line="240" w:lineRule="auto"/>
        <w:ind w:left="851" w:hanging="425"/>
        <w:contextualSpacing w:val="0"/>
        <w:jc w:val="both"/>
        <w:rPr>
          <w:rFonts w:cstheme="minorHAnsi"/>
        </w:rPr>
      </w:pPr>
      <w:r w:rsidRPr="006C3797">
        <w:rPr>
          <w:rFonts w:cstheme="minorHAnsi"/>
        </w:rPr>
        <w:t xml:space="preserve">Rekomendacji Z Komisji Nadzoru Finansowego dotyczącej zasad ładu wewnętrznego </w:t>
      </w:r>
      <w:r w:rsidR="00CB26C0" w:rsidRPr="006C3797">
        <w:rPr>
          <w:rFonts w:cstheme="minorHAnsi"/>
        </w:rPr>
        <w:br/>
      </w:r>
      <w:r w:rsidRPr="006C3797">
        <w:rPr>
          <w:rFonts w:cstheme="minorHAnsi"/>
        </w:rPr>
        <w:t>w bankach.</w:t>
      </w:r>
    </w:p>
    <w:p w14:paraId="7EB140EC" w14:textId="77777777" w:rsidR="00593066" w:rsidRPr="006C3797" w:rsidRDefault="00593066" w:rsidP="00B24163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both"/>
        <w:rPr>
          <w:rFonts w:cstheme="minorHAnsi"/>
          <w:spacing w:val="-2"/>
        </w:rPr>
      </w:pPr>
      <w:r w:rsidRPr="006C3797">
        <w:rPr>
          <w:rFonts w:cstheme="minorHAnsi"/>
          <w:spacing w:val="-2"/>
        </w:rPr>
        <w:t>Użyte w Polityce określenia oznaczają:</w:t>
      </w:r>
    </w:p>
    <w:p w14:paraId="3C8C0E13" w14:textId="21EDA6D1" w:rsidR="008C4719" w:rsidRPr="006C3797" w:rsidRDefault="008C4719" w:rsidP="00B24163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  <w:b/>
        </w:rPr>
        <w:t>Bank</w:t>
      </w:r>
      <w:r w:rsidRPr="006C3797">
        <w:rPr>
          <w:rFonts w:cstheme="minorHAnsi"/>
        </w:rPr>
        <w:t xml:space="preserve"> – Bank </w:t>
      </w:r>
      <w:r w:rsidR="009F10F7" w:rsidRPr="006C3797">
        <w:rPr>
          <w:rFonts w:cstheme="minorHAnsi"/>
        </w:rPr>
        <w:t xml:space="preserve">Spółdzielczy </w:t>
      </w:r>
      <w:r w:rsidR="00D45661" w:rsidRPr="006C3797">
        <w:rPr>
          <w:rFonts w:cstheme="minorHAnsi"/>
          <w:spacing w:val="-2"/>
        </w:rPr>
        <w:t>w Legionowie</w:t>
      </w:r>
      <w:r w:rsidR="009F10F7" w:rsidRPr="006C3797">
        <w:rPr>
          <w:rFonts w:cstheme="minorHAnsi"/>
        </w:rPr>
        <w:t>;</w:t>
      </w:r>
    </w:p>
    <w:p w14:paraId="6404BBDA" w14:textId="4336BE45" w:rsidR="008C4719" w:rsidRPr="006C3797" w:rsidRDefault="008C4719" w:rsidP="00B24163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425"/>
        <w:rPr>
          <w:rFonts w:cstheme="minorHAnsi"/>
        </w:rPr>
      </w:pPr>
      <w:r w:rsidRPr="006C3797">
        <w:rPr>
          <w:rFonts w:cstheme="minorHAnsi"/>
          <w:b/>
        </w:rPr>
        <w:t>Rada Nadzorcza</w:t>
      </w:r>
      <w:r w:rsidRPr="006C3797">
        <w:rPr>
          <w:rFonts w:cstheme="minorHAnsi"/>
          <w:bCs/>
        </w:rPr>
        <w:t xml:space="preserve"> – </w:t>
      </w:r>
      <w:r w:rsidR="009F10F7" w:rsidRPr="006C3797">
        <w:rPr>
          <w:rFonts w:cstheme="minorHAnsi"/>
        </w:rPr>
        <w:t>Rada Nadzorcza Banku;</w:t>
      </w:r>
    </w:p>
    <w:p w14:paraId="24A788F1" w14:textId="62794529" w:rsidR="008C4719" w:rsidRPr="006C3797" w:rsidRDefault="008C4719" w:rsidP="00B24163">
      <w:pPr>
        <w:numPr>
          <w:ilvl w:val="0"/>
          <w:numId w:val="3"/>
        </w:numPr>
        <w:tabs>
          <w:tab w:val="left" w:pos="851"/>
        </w:tabs>
        <w:spacing w:before="120" w:after="120" w:line="240" w:lineRule="auto"/>
        <w:ind w:left="851" w:hanging="425"/>
        <w:rPr>
          <w:rFonts w:cstheme="minorHAnsi"/>
        </w:rPr>
      </w:pPr>
      <w:r w:rsidRPr="006C3797">
        <w:rPr>
          <w:rFonts w:cstheme="minorHAnsi"/>
          <w:b/>
        </w:rPr>
        <w:t xml:space="preserve">Zarząd </w:t>
      </w:r>
      <w:r w:rsidRPr="006C3797">
        <w:rPr>
          <w:rFonts w:cstheme="minorHAnsi"/>
          <w:bCs/>
        </w:rPr>
        <w:t>–</w:t>
      </w:r>
      <w:r w:rsidRPr="006C3797">
        <w:rPr>
          <w:rFonts w:cstheme="minorHAnsi"/>
          <w:b/>
        </w:rPr>
        <w:t xml:space="preserve"> </w:t>
      </w:r>
      <w:r w:rsidRPr="006C3797">
        <w:rPr>
          <w:rFonts w:cstheme="minorHAnsi"/>
        </w:rPr>
        <w:t>Zarząd Banku;</w:t>
      </w:r>
    </w:p>
    <w:p w14:paraId="2C6DB470" w14:textId="77777777" w:rsidR="006C7B30" w:rsidRPr="006C3797" w:rsidRDefault="006C7B30" w:rsidP="00B2416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  <w:b/>
        </w:rPr>
        <w:t xml:space="preserve">organ Banku </w:t>
      </w:r>
      <w:r w:rsidRPr="006C3797">
        <w:rPr>
          <w:rFonts w:cstheme="minorHAnsi"/>
        </w:rPr>
        <w:t>– Zarząd lub Rada Nadzorcza;</w:t>
      </w:r>
    </w:p>
    <w:p w14:paraId="58581A20" w14:textId="35256F0D" w:rsidR="00C9724F" w:rsidRPr="006C3797" w:rsidRDefault="00C9724F" w:rsidP="00B2416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  <w:b/>
        </w:rPr>
        <w:t xml:space="preserve">wynagrodzenie stałe </w:t>
      </w:r>
      <w:r w:rsidRPr="006C3797">
        <w:rPr>
          <w:rFonts w:cstheme="minorHAnsi"/>
        </w:rPr>
        <w:t xml:space="preserve">– </w:t>
      </w:r>
      <w:r w:rsidR="00B47134" w:rsidRPr="006C3797">
        <w:rPr>
          <w:rFonts w:cstheme="minorHAnsi"/>
        </w:rPr>
        <w:t xml:space="preserve">składnik </w:t>
      </w:r>
      <w:r w:rsidRPr="006C3797">
        <w:rPr>
          <w:rFonts w:cstheme="minorHAnsi"/>
        </w:rPr>
        <w:t>wynagrodzeni</w:t>
      </w:r>
      <w:r w:rsidR="00B47134" w:rsidRPr="006C3797">
        <w:rPr>
          <w:rFonts w:cstheme="minorHAnsi"/>
        </w:rPr>
        <w:t>a</w:t>
      </w:r>
      <w:r w:rsidRPr="006C3797">
        <w:rPr>
          <w:rFonts w:cstheme="minorHAnsi"/>
        </w:rPr>
        <w:t xml:space="preserve"> spełnia</w:t>
      </w:r>
      <w:r w:rsidR="00B47134" w:rsidRPr="006C3797">
        <w:rPr>
          <w:rFonts w:cstheme="minorHAnsi"/>
        </w:rPr>
        <w:t>jący</w:t>
      </w:r>
      <w:r w:rsidRPr="006C3797">
        <w:rPr>
          <w:rFonts w:cstheme="minorHAnsi"/>
        </w:rPr>
        <w:t xml:space="preserve"> kryteria, o których mowa w § 4 ust. </w:t>
      </w:r>
      <w:r w:rsidR="00CB26C0" w:rsidRPr="006C3797">
        <w:rPr>
          <w:rFonts w:cstheme="minorHAnsi"/>
        </w:rPr>
        <w:t>6</w:t>
      </w:r>
      <w:r w:rsidRPr="006C3797">
        <w:rPr>
          <w:rFonts w:cstheme="minorHAnsi"/>
        </w:rPr>
        <w:t>;</w:t>
      </w:r>
    </w:p>
    <w:p w14:paraId="76099631" w14:textId="7822185E" w:rsidR="00C9724F" w:rsidRPr="006C3797" w:rsidRDefault="00C9724F" w:rsidP="00B2416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  <w:b/>
        </w:rPr>
        <w:t>wynagrodzenie zmienne</w:t>
      </w:r>
      <w:r w:rsidRPr="006C3797">
        <w:rPr>
          <w:rFonts w:cstheme="minorHAnsi"/>
        </w:rPr>
        <w:t xml:space="preserve"> </w:t>
      </w:r>
      <w:r w:rsidR="000E48C4" w:rsidRPr="006C3797">
        <w:rPr>
          <w:rFonts w:cstheme="minorHAnsi"/>
        </w:rPr>
        <w:t>–</w:t>
      </w:r>
      <w:r w:rsidRPr="006C3797">
        <w:rPr>
          <w:rFonts w:cstheme="minorHAnsi"/>
        </w:rPr>
        <w:t xml:space="preserve"> </w:t>
      </w:r>
      <w:r w:rsidR="00B47134" w:rsidRPr="006C3797">
        <w:rPr>
          <w:rFonts w:cstheme="minorHAnsi"/>
        </w:rPr>
        <w:t xml:space="preserve">składnik </w:t>
      </w:r>
      <w:r w:rsidRPr="006C3797">
        <w:rPr>
          <w:rFonts w:cstheme="minorHAnsi"/>
        </w:rPr>
        <w:t>wynagrodzeni</w:t>
      </w:r>
      <w:r w:rsidR="00B47134" w:rsidRPr="006C3797">
        <w:rPr>
          <w:rFonts w:cstheme="minorHAnsi"/>
        </w:rPr>
        <w:t>a</w:t>
      </w:r>
      <w:r w:rsidRPr="006C3797">
        <w:rPr>
          <w:rFonts w:cstheme="minorHAnsi"/>
        </w:rPr>
        <w:t xml:space="preserve"> niespełnia</w:t>
      </w:r>
      <w:r w:rsidR="00B47134" w:rsidRPr="006C3797">
        <w:rPr>
          <w:rFonts w:cstheme="minorHAnsi"/>
        </w:rPr>
        <w:t>jący</w:t>
      </w:r>
      <w:r w:rsidRPr="006C3797">
        <w:rPr>
          <w:rFonts w:cstheme="minorHAnsi"/>
        </w:rPr>
        <w:t xml:space="preserve"> kryteriów, </w:t>
      </w:r>
      <w:r w:rsidR="00F64F4D" w:rsidRPr="006C3797">
        <w:rPr>
          <w:rFonts w:cstheme="minorHAnsi"/>
        </w:rPr>
        <w:br/>
      </w:r>
      <w:r w:rsidRPr="006C3797">
        <w:rPr>
          <w:rFonts w:cstheme="minorHAnsi"/>
        </w:rPr>
        <w:t xml:space="preserve">o których mowa w </w:t>
      </w:r>
      <w:bookmarkStart w:id="1" w:name="_Hlk60127205"/>
      <w:r w:rsidRPr="006C3797">
        <w:rPr>
          <w:rFonts w:cstheme="minorHAnsi"/>
        </w:rPr>
        <w:t>§ 4</w:t>
      </w:r>
      <w:bookmarkEnd w:id="1"/>
      <w:r w:rsidRPr="006C3797">
        <w:rPr>
          <w:rFonts w:cstheme="minorHAnsi"/>
        </w:rPr>
        <w:t xml:space="preserve"> ust. </w:t>
      </w:r>
      <w:r w:rsidR="00A74168" w:rsidRPr="006C3797">
        <w:rPr>
          <w:rFonts w:cstheme="minorHAnsi"/>
        </w:rPr>
        <w:t>6</w:t>
      </w:r>
      <w:r w:rsidRPr="006C3797">
        <w:rPr>
          <w:rFonts w:cstheme="minorHAnsi"/>
        </w:rPr>
        <w:t>;</w:t>
      </w:r>
    </w:p>
    <w:p w14:paraId="07AFF05A" w14:textId="57D44D58" w:rsidR="00E70D62" w:rsidRPr="00483CF5" w:rsidRDefault="00D442F2" w:rsidP="00B2416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  <w:b/>
        </w:rPr>
      </w:pPr>
      <w:r w:rsidRPr="00483CF5">
        <w:rPr>
          <w:rFonts w:cstheme="minorHAnsi"/>
          <w:b/>
        </w:rPr>
        <w:lastRenderedPageBreak/>
        <w:t xml:space="preserve">pracownik </w:t>
      </w:r>
      <w:r w:rsidRPr="00483CF5">
        <w:rPr>
          <w:rFonts w:cstheme="minorHAnsi"/>
        </w:rPr>
        <w:t>– osoba zatrudniona w Banku na podstawie umowy o pracę</w:t>
      </w:r>
      <w:r w:rsidR="007167AD" w:rsidRPr="00483CF5">
        <w:rPr>
          <w:rFonts w:cstheme="minorHAnsi"/>
        </w:rPr>
        <w:t>, zlecenia lub innej umowy o podobnym charakterze, a także członkowie Zarządu i Rady Nadzorczej</w:t>
      </w:r>
      <w:r w:rsidRPr="00483CF5">
        <w:rPr>
          <w:rFonts w:cstheme="minorHAnsi"/>
        </w:rPr>
        <w:t>;</w:t>
      </w:r>
      <w:r w:rsidR="009F10F7" w:rsidRPr="00483CF5">
        <w:rPr>
          <w:rFonts w:eastAsia="Times New Roman" w:cstheme="minorHAnsi"/>
          <w:i/>
          <w:color w:val="FF33CC"/>
          <w:lang w:eastAsia="pl-PL"/>
        </w:rPr>
        <w:t xml:space="preserve"> </w:t>
      </w:r>
    </w:p>
    <w:p w14:paraId="03A46100" w14:textId="56D6EE94" w:rsidR="00E01586" w:rsidRPr="00A74168" w:rsidRDefault="006C7B30" w:rsidP="00B24163">
      <w:pPr>
        <w:numPr>
          <w:ilvl w:val="0"/>
          <w:numId w:val="3"/>
        </w:numPr>
        <w:tabs>
          <w:tab w:val="right" w:pos="284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  <w:b/>
        </w:rPr>
        <w:t xml:space="preserve">pracownik, którego działalność zawodowa ma istotny wpływ na profil ryzyka </w:t>
      </w:r>
      <w:r w:rsidRPr="00483CF5">
        <w:rPr>
          <w:rFonts w:cstheme="minorHAnsi"/>
          <w:b/>
          <w:shd w:val="clear" w:color="auto" w:fill="FFFFFF" w:themeFill="background1"/>
        </w:rPr>
        <w:t>Banku</w:t>
      </w:r>
      <w:r w:rsidR="00B04298" w:rsidRPr="00483CF5">
        <w:rPr>
          <w:rFonts w:cstheme="minorHAnsi"/>
          <w:shd w:val="clear" w:color="auto" w:fill="FFFFFF" w:themeFill="background1"/>
        </w:rPr>
        <w:t xml:space="preserve"> </w:t>
      </w:r>
      <w:r w:rsidR="000E48C4" w:rsidRPr="00483CF5">
        <w:rPr>
          <w:rFonts w:cstheme="minorHAnsi"/>
        </w:rPr>
        <w:t>–</w:t>
      </w:r>
      <w:r w:rsidR="00B04298" w:rsidRPr="00483CF5">
        <w:rPr>
          <w:rFonts w:cstheme="minorHAnsi"/>
          <w:shd w:val="clear" w:color="auto" w:fill="FFFFFF" w:themeFill="background1"/>
        </w:rPr>
        <w:t xml:space="preserve"> </w:t>
      </w:r>
      <w:r w:rsidR="00B04298" w:rsidRPr="00483CF5">
        <w:rPr>
          <w:rFonts w:cstheme="minorHAnsi"/>
        </w:rPr>
        <w:t>pracownik</w:t>
      </w:r>
      <w:r w:rsidR="00FD3BAE" w:rsidRPr="00483CF5">
        <w:rPr>
          <w:rFonts w:cstheme="minorHAnsi"/>
        </w:rPr>
        <w:t xml:space="preserve"> </w:t>
      </w:r>
      <w:r w:rsidR="00B04298" w:rsidRPr="00483CF5">
        <w:rPr>
          <w:rFonts w:cstheme="minorHAnsi"/>
        </w:rPr>
        <w:t>wykazany</w:t>
      </w:r>
      <w:r w:rsidR="00455A62" w:rsidRPr="00483CF5">
        <w:rPr>
          <w:rFonts w:cstheme="minorHAnsi"/>
        </w:rPr>
        <w:t xml:space="preserve"> w §</w:t>
      </w:r>
      <w:r w:rsidR="00A74168">
        <w:rPr>
          <w:rFonts w:cstheme="minorHAnsi"/>
        </w:rPr>
        <w:t xml:space="preserve"> </w:t>
      </w:r>
      <w:r w:rsidR="00455A62" w:rsidRPr="00483CF5">
        <w:rPr>
          <w:rFonts w:cstheme="minorHAnsi"/>
        </w:rPr>
        <w:t xml:space="preserve">3 </w:t>
      </w:r>
      <w:r w:rsidR="00455A62" w:rsidRPr="00D40593">
        <w:rPr>
          <w:rFonts w:cstheme="minorHAnsi"/>
          <w:i/>
          <w:iCs/>
        </w:rPr>
        <w:t>Polityki wynagradzania pracowników, których działalność zawodowa ma istotny wpływ na</w:t>
      </w:r>
      <w:r w:rsidR="00B04298" w:rsidRPr="00D40593">
        <w:rPr>
          <w:rFonts w:cstheme="minorHAnsi"/>
          <w:i/>
          <w:iCs/>
        </w:rPr>
        <w:t xml:space="preserve"> </w:t>
      </w:r>
      <w:r w:rsidR="00455A62" w:rsidRPr="00D40593">
        <w:rPr>
          <w:rFonts w:cstheme="minorHAnsi"/>
          <w:i/>
          <w:iCs/>
        </w:rPr>
        <w:t>profil ryzyka Banku</w:t>
      </w:r>
      <w:r w:rsidR="00B04298" w:rsidRPr="00072DEF">
        <w:rPr>
          <w:rFonts w:cstheme="minorHAnsi"/>
        </w:rPr>
        <w:t>, a także członek Rady Nadzorczej</w:t>
      </w:r>
      <w:r w:rsidR="00E01586" w:rsidRPr="00A74168">
        <w:rPr>
          <w:rFonts w:cstheme="minorHAnsi"/>
          <w:shd w:val="clear" w:color="auto" w:fill="FFFFFF" w:themeFill="background1"/>
        </w:rPr>
        <w:t>;</w:t>
      </w:r>
    </w:p>
    <w:p w14:paraId="4BE304A2" w14:textId="5E9805B0" w:rsidR="009C1BAD" w:rsidRPr="00483CF5" w:rsidRDefault="00225E89" w:rsidP="00B24163">
      <w:pPr>
        <w:numPr>
          <w:ilvl w:val="0"/>
          <w:numId w:val="3"/>
        </w:numPr>
        <w:tabs>
          <w:tab w:val="right" w:pos="284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  <w:b/>
        </w:rPr>
        <w:t xml:space="preserve">baza kapitałowa </w:t>
      </w:r>
      <w:r w:rsidR="000E48C4" w:rsidRPr="00483CF5">
        <w:rPr>
          <w:rFonts w:cstheme="minorHAnsi"/>
        </w:rPr>
        <w:t>–</w:t>
      </w:r>
      <w:r w:rsidRPr="00483CF5">
        <w:rPr>
          <w:rFonts w:cstheme="minorHAnsi"/>
          <w:b/>
        </w:rPr>
        <w:t xml:space="preserve"> </w:t>
      </w:r>
      <w:r w:rsidR="00594F2F" w:rsidRPr="00483CF5">
        <w:rPr>
          <w:rFonts w:cstheme="minorHAnsi"/>
        </w:rPr>
        <w:t xml:space="preserve">poziom i struktura funduszy własnych Banku stanowiących sumę kapitału Tier I i </w:t>
      </w:r>
      <w:r w:rsidR="00F64F4D" w:rsidRPr="00483CF5">
        <w:rPr>
          <w:rFonts w:cstheme="minorHAnsi"/>
        </w:rPr>
        <w:t xml:space="preserve">kapitału </w:t>
      </w:r>
      <w:r w:rsidR="00594F2F" w:rsidRPr="00483CF5">
        <w:rPr>
          <w:rFonts w:cstheme="minorHAnsi"/>
        </w:rPr>
        <w:t>Tier II Banku, wyznaczonych zgodnie</w:t>
      </w:r>
      <w:r w:rsidR="00F64F4D" w:rsidRPr="00483CF5">
        <w:rPr>
          <w:rFonts w:cstheme="minorHAnsi"/>
        </w:rPr>
        <w:t xml:space="preserve"> </w:t>
      </w:r>
      <w:r w:rsidR="00594F2F" w:rsidRPr="00483CF5">
        <w:rPr>
          <w:rFonts w:cstheme="minorHAnsi"/>
        </w:rPr>
        <w:t>z Rozporządzeniem Parlamentu Europejskiego i Rady (UE) nr 575/2013</w:t>
      </w:r>
      <w:r w:rsidR="00F64F4D" w:rsidRPr="00483CF5">
        <w:rPr>
          <w:rFonts w:cstheme="minorHAnsi"/>
        </w:rPr>
        <w:t xml:space="preserve"> </w:t>
      </w:r>
      <w:r w:rsidR="00594F2F" w:rsidRPr="00483CF5">
        <w:rPr>
          <w:rFonts w:cstheme="minorHAnsi"/>
        </w:rPr>
        <w:t>z dnia 26 czerwca 2013 r. w sprawie wymogów ostrożnościowych dla instytucji kredytowych i firm inwestycyjnych; wysokość posiadanej przez Bank bazy kapitałowej powinna być wystarczająca do spełnienia wymagań regulacyjnych</w:t>
      </w:r>
      <w:r w:rsidR="007A3550">
        <w:rPr>
          <w:rFonts w:cstheme="minorHAnsi"/>
        </w:rPr>
        <w:t>.</w:t>
      </w:r>
    </w:p>
    <w:p w14:paraId="66BF1837" w14:textId="77777777" w:rsidR="00340D44" w:rsidRPr="00483CF5" w:rsidRDefault="00340D44" w:rsidP="00274E17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>§ 2.</w:t>
      </w:r>
    </w:p>
    <w:p w14:paraId="4C10EEB1" w14:textId="77777777" w:rsidR="00141D77" w:rsidRPr="00483CF5" w:rsidRDefault="00141D77" w:rsidP="00D40593">
      <w:pPr>
        <w:pStyle w:val="Akapitzlist"/>
        <w:numPr>
          <w:ilvl w:val="0"/>
          <w:numId w:val="16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pacing w:val="-2"/>
        </w:rPr>
      </w:pPr>
      <w:r w:rsidRPr="00483CF5">
        <w:rPr>
          <w:rFonts w:cstheme="minorHAnsi"/>
          <w:spacing w:val="-2"/>
        </w:rPr>
        <w:t>Wprowadzenie Polityki ma na celu:</w:t>
      </w:r>
    </w:p>
    <w:p w14:paraId="40A1C7AE" w14:textId="3EA1F375" w:rsidR="00141D77" w:rsidRPr="006C3797" w:rsidRDefault="00141D77" w:rsidP="00D4059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</w:rPr>
        <w:t xml:space="preserve">adekwatne wynagradzanie pracowników za wykonaną pracę, a także motywowanie ich </w:t>
      </w:r>
      <w:r w:rsidR="007A3550">
        <w:rPr>
          <w:rFonts w:cstheme="minorHAnsi"/>
        </w:rPr>
        <w:br/>
      </w:r>
      <w:r w:rsidRPr="006C3797">
        <w:rPr>
          <w:rFonts w:cstheme="minorHAnsi"/>
        </w:rPr>
        <w:t>do osiągania wysokich wyników oraz realizacji celów strategicznych Banku;</w:t>
      </w:r>
    </w:p>
    <w:p w14:paraId="19762DB6" w14:textId="084076B5" w:rsidR="0019432E" w:rsidRPr="006C3797" w:rsidRDefault="001756B0" w:rsidP="00D4059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</w:rPr>
        <w:t>utrzymanie</w:t>
      </w:r>
      <w:r w:rsidR="002D37CA" w:rsidRPr="006C3797">
        <w:rPr>
          <w:rFonts w:cstheme="minorHAnsi"/>
        </w:rPr>
        <w:t xml:space="preserve"> w</w:t>
      </w:r>
      <w:r w:rsidR="00084BE4" w:rsidRPr="006C3797">
        <w:rPr>
          <w:rFonts w:cstheme="minorHAnsi"/>
        </w:rPr>
        <w:t>ykwalifikowanych pracowników</w:t>
      </w:r>
      <w:r w:rsidR="002D37CA" w:rsidRPr="006C3797">
        <w:rPr>
          <w:rFonts w:cstheme="minorHAnsi"/>
        </w:rPr>
        <w:t xml:space="preserve"> przy jednoczesnym zachowaniu równowagi pomiędzy przewagą konkurencyjną wynagrodzeń</w:t>
      </w:r>
      <w:r w:rsidR="007A3550" w:rsidRPr="006C3797">
        <w:rPr>
          <w:rFonts w:cstheme="minorHAnsi"/>
        </w:rPr>
        <w:t xml:space="preserve"> </w:t>
      </w:r>
      <w:r w:rsidR="002D37CA" w:rsidRPr="006C3797">
        <w:rPr>
          <w:rFonts w:cstheme="minorHAnsi"/>
        </w:rPr>
        <w:t>a rentownością Banku</w:t>
      </w:r>
      <w:r w:rsidR="0019432E" w:rsidRPr="006C3797">
        <w:rPr>
          <w:rFonts w:cstheme="minorHAnsi"/>
        </w:rPr>
        <w:t>;</w:t>
      </w:r>
    </w:p>
    <w:p w14:paraId="228C6946" w14:textId="2C16BD38" w:rsidR="001756B0" w:rsidRPr="006C3797" w:rsidRDefault="00141D77" w:rsidP="00D4059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</w:rPr>
        <w:t xml:space="preserve">zapewnienie, </w:t>
      </w:r>
      <w:r w:rsidR="007A3550" w:rsidRPr="006C3797">
        <w:rPr>
          <w:rFonts w:cstheme="minorHAnsi"/>
        </w:rPr>
        <w:t>a</w:t>
      </w:r>
      <w:r w:rsidRPr="006C3797">
        <w:rPr>
          <w:rFonts w:cstheme="minorHAnsi"/>
        </w:rPr>
        <w:t xml:space="preserve">by </w:t>
      </w:r>
      <w:r w:rsidR="00340D44" w:rsidRPr="006C3797">
        <w:rPr>
          <w:rFonts w:cstheme="minorHAnsi"/>
        </w:rPr>
        <w:t>system</w:t>
      </w:r>
      <w:r w:rsidRPr="006C3797">
        <w:rPr>
          <w:rFonts w:cstheme="minorHAnsi"/>
        </w:rPr>
        <w:t xml:space="preserve"> wynagradzania nie stanowił zachęty do podejmowania nadmiernego ryzyka lub niewłaściwej sprzedaży produktów</w:t>
      </w:r>
      <w:r w:rsidR="00263EF1" w:rsidRPr="006C3797">
        <w:rPr>
          <w:rFonts w:cstheme="minorHAnsi"/>
        </w:rPr>
        <w:t xml:space="preserve">, w szczególności </w:t>
      </w:r>
      <w:r w:rsidR="00D759FE" w:rsidRPr="006C3797">
        <w:rPr>
          <w:rFonts w:cstheme="minorHAnsi"/>
        </w:rPr>
        <w:t>uwzględniał</w:t>
      </w:r>
      <w:r w:rsidR="00263EF1" w:rsidRPr="006C3797">
        <w:rPr>
          <w:rFonts w:cstheme="minorHAnsi"/>
        </w:rPr>
        <w:t xml:space="preserve"> praw</w:t>
      </w:r>
      <w:r w:rsidR="00D759FE" w:rsidRPr="006C3797">
        <w:rPr>
          <w:rFonts w:cstheme="minorHAnsi"/>
        </w:rPr>
        <w:t>a i interesy</w:t>
      </w:r>
      <w:r w:rsidR="00263EF1" w:rsidRPr="006C3797">
        <w:rPr>
          <w:rFonts w:cstheme="minorHAnsi"/>
        </w:rPr>
        <w:t xml:space="preserve"> </w:t>
      </w:r>
      <w:r w:rsidR="00A17B4F" w:rsidRPr="006C3797">
        <w:rPr>
          <w:rFonts w:cstheme="minorHAnsi"/>
        </w:rPr>
        <w:t>klientów</w:t>
      </w:r>
      <w:r w:rsidR="007A3550" w:rsidRPr="006C3797">
        <w:rPr>
          <w:rFonts w:cstheme="minorHAnsi"/>
        </w:rPr>
        <w:t>;</w:t>
      </w:r>
    </w:p>
    <w:p w14:paraId="65C46E3D" w14:textId="2CA28D23" w:rsidR="00141D77" w:rsidRPr="006C3797" w:rsidRDefault="001756B0" w:rsidP="00D4059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</w:rPr>
        <w:t>wspieranie realizacji Strategii</w:t>
      </w:r>
      <w:r w:rsidR="007A3550" w:rsidRPr="006C3797">
        <w:rPr>
          <w:rFonts w:cstheme="minorHAnsi"/>
        </w:rPr>
        <w:t xml:space="preserve"> działania</w:t>
      </w:r>
      <w:r w:rsidRPr="006C3797">
        <w:rPr>
          <w:rFonts w:cstheme="minorHAnsi"/>
        </w:rPr>
        <w:t xml:space="preserve"> Bank</w:t>
      </w:r>
      <w:r w:rsidR="007A3550" w:rsidRPr="006C3797">
        <w:rPr>
          <w:rFonts w:cstheme="minorHAnsi"/>
        </w:rPr>
        <w:t>u</w:t>
      </w:r>
      <w:r w:rsidRPr="006C3797">
        <w:rPr>
          <w:rFonts w:cstheme="minorHAnsi"/>
        </w:rPr>
        <w:t xml:space="preserve"> i </w:t>
      </w:r>
      <w:r w:rsidR="007A3550" w:rsidRPr="006C3797">
        <w:rPr>
          <w:rFonts w:cstheme="minorHAnsi"/>
        </w:rPr>
        <w:t>S</w:t>
      </w:r>
      <w:r w:rsidRPr="006C3797">
        <w:rPr>
          <w:rFonts w:cstheme="minorHAnsi"/>
        </w:rPr>
        <w:t>trategii zarządzania ryzykiem oraz ograniczenie konfliktu interesów.</w:t>
      </w:r>
    </w:p>
    <w:p w14:paraId="3BC6132C" w14:textId="5467EA45" w:rsidR="00D061A5" w:rsidRPr="006C3797" w:rsidRDefault="00D061A5" w:rsidP="00D40593">
      <w:pPr>
        <w:pStyle w:val="Akapitzlist"/>
        <w:numPr>
          <w:ilvl w:val="0"/>
          <w:numId w:val="16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pacing w:val="-2"/>
        </w:rPr>
      </w:pPr>
      <w:r w:rsidRPr="006C3797">
        <w:rPr>
          <w:rFonts w:cstheme="minorHAnsi"/>
          <w:spacing w:val="-2"/>
        </w:rPr>
        <w:t xml:space="preserve">Postanowienia Polityki dotyczą zasad wynagradzania wszystkich pracowników, </w:t>
      </w:r>
      <w:r w:rsidR="00CE0A81" w:rsidRPr="006C3797">
        <w:rPr>
          <w:rFonts w:cstheme="minorHAnsi"/>
          <w:spacing w:val="-2"/>
        </w:rPr>
        <w:t>w tym</w:t>
      </w:r>
      <w:r w:rsidRPr="006C3797">
        <w:rPr>
          <w:rFonts w:cstheme="minorHAnsi"/>
          <w:spacing w:val="-2"/>
        </w:rPr>
        <w:t>:</w:t>
      </w:r>
    </w:p>
    <w:p w14:paraId="38DA3FDF" w14:textId="5D77EEDD" w:rsidR="00D061A5" w:rsidRPr="006C3797" w:rsidRDefault="00225E89" w:rsidP="00D4059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</w:rPr>
        <w:t>pracowników,</w:t>
      </w:r>
      <w:r w:rsidR="00CE0A81" w:rsidRPr="006C3797">
        <w:rPr>
          <w:rFonts w:cstheme="minorHAnsi"/>
        </w:rPr>
        <w:t xml:space="preserve"> </w:t>
      </w:r>
      <w:r w:rsidRPr="006C3797">
        <w:rPr>
          <w:rFonts w:cstheme="minorHAnsi"/>
        </w:rPr>
        <w:t>których działalność zawodowa ma i</w:t>
      </w:r>
      <w:r w:rsidR="008F2580" w:rsidRPr="006C3797">
        <w:rPr>
          <w:rFonts w:cstheme="minorHAnsi"/>
        </w:rPr>
        <w:t xml:space="preserve">stotny wpływ na profil ryzyka </w:t>
      </w:r>
      <w:r w:rsidRPr="006C3797">
        <w:rPr>
          <w:rFonts w:cstheme="minorHAnsi"/>
        </w:rPr>
        <w:t>Banku</w:t>
      </w:r>
      <w:r w:rsidR="00340D44" w:rsidRPr="006C3797">
        <w:rPr>
          <w:rFonts w:cstheme="minorHAnsi"/>
        </w:rPr>
        <w:t>;</w:t>
      </w:r>
    </w:p>
    <w:p w14:paraId="27D13364" w14:textId="53F148F0" w:rsidR="00D061A5" w:rsidRPr="006C3797" w:rsidRDefault="00CE0A81" w:rsidP="00D4059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</w:rPr>
        <w:t xml:space="preserve">pracowników </w:t>
      </w:r>
      <w:r w:rsidR="008C23DC" w:rsidRPr="006C3797">
        <w:rPr>
          <w:rFonts w:cstheme="minorHAnsi"/>
        </w:rPr>
        <w:t>bezpośrednio lub pośrednio zaangażowanych</w:t>
      </w:r>
      <w:r w:rsidR="00D061A5" w:rsidRPr="006C3797">
        <w:rPr>
          <w:rFonts w:cstheme="minorHAnsi"/>
        </w:rPr>
        <w:t xml:space="preserve"> </w:t>
      </w:r>
      <w:r w:rsidR="008C23DC" w:rsidRPr="006C3797">
        <w:rPr>
          <w:rFonts w:cstheme="minorHAnsi"/>
        </w:rPr>
        <w:t>w sprzedaż</w:t>
      </w:r>
      <w:r w:rsidR="00D061A5" w:rsidRPr="006C3797">
        <w:rPr>
          <w:rFonts w:cstheme="minorHAnsi"/>
        </w:rPr>
        <w:t xml:space="preserve"> </w:t>
      </w:r>
      <w:r w:rsidRPr="006C3797">
        <w:rPr>
          <w:rFonts w:cstheme="minorHAnsi"/>
        </w:rPr>
        <w:t>produktów</w:t>
      </w:r>
      <w:r w:rsidR="001577DF" w:rsidRPr="006C3797">
        <w:rPr>
          <w:rFonts w:cstheme="minorHAnsi"/>
        </w:rPr>
        <w:t xml:space="preserve"> </w:t>
      </w:r>
      <w:r w:rsidR="00F64F4D" w:rsidRPr="006C3797">
        <w:rPr>
          <w:rFonts w:cstheme="minorHAnsi"/>
        </w:rPr>
        <w:t xml:space="preserve">bankowych lub świadczenie usług bankowych bezpośrednio dla </w:t>
      </w:r>
      <w:r w:rsidR="00A17B4F" w:rsidRPr="006C3797">
        <w:rPr>
          <w:rFonts w:cstheme="minorHAnsi"/>
        </w:rPr>
        <w:t>klientów</w:t>
      </w:r>
      <w:r w:rsidR="00340D44" w:rsidRPr="006C3797">
        <w:rPr>
          <w:rFonts w:cstheme="minorHAnsi"/>
        </w:rPr>
        <w:t>;</w:t>
      </w:r>
    </w:p>
    <w:p w14:paraId="577A7C33" w14:textId="77777777" w:rsidR="00D061A5" w:rsidRPr="006C3797" w:rsidRDefault="00771A74" w:rsidP="00D4059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theme="minorHAnsi"/>
        </w:rPr>
      </w:pPr>
      <w:r w:rsidRPr="006C3797">
        <w:rPr>
          <w:rFonts w:cstheme="minorHAnsi"/>
        </w:rPr>
        <w:t>członków organów Banku</w:t>
      </w:r>
      <w:r w:rsidR="008F222D" w:rsidRPr="006C3797">
        <w:rPr>
          <w:rFonts w:cstheme="minorHAnsi"/>
        </w:rPr>
        <w:t>.</w:t>
      </w:r>
    </w:p>
    <w:p w14:paraId="10FB9216" w14:textId="1B465D0E" w:rsidR="001B2B0F" w:rsidRPr="006C3797" w:rsidRDefault="001B2B0F" w:rsidP="00D40593">
      <w:pPr>
        <w:pStyle w:val="Akapitzlist"/>
        <w:numPr>
          <w:ilvl w:val="0"/>
          <w:numId w:val="16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pacing w:val="-2"/>
        </w:rPr>
      </w:pPr>
      <w:r w:rsidRPr="006C3797">
        <w:rPr>
          <w:rFonts w:cstheme="minorHAnsi"/>
          <w:spacing w:val="-2"/>
        </w:rPr>
        <w:t>Polityka wynagrodzeń Banku uwzględni</w:t>
      </w:r>
      <w:r w:rsidR="00EC4268" w:rsidRPr="006C3797">
        <w:rPr>
          <w:rFonts w:cstheme="minorHAnsi"/>
          <w:spacing w:val="-2"/>
        </w:rPr>
        <w:t>a</w:t>
      </w:r>
      <w:r w:rsidRPr="006C3797">
        <w:rPr>
          <w:rFonts w:cstheme="minorHAnsi"/>
          <w:spacing w:val="-2"/>
        </w:rPr>
        <w:t xml:space="preserve"> wielkoś</w:t>
      </w:r>
      <w:r w:rsidR="00EC4268" w:rsidRPr="006C3797">
        <w:rPr>
          <w:rFonts w:cstheme="minorHAnsi"/>
          <w:spacing w:val="-2"/>
        </w:rPr>
        <w:t>ć</w:t>
      </w:r>
      <w:r w:rsidRPr="006C3797">
        <w:rPr>
          <w:rFonts w:cstheme="minorHAnsi"/>
          <w:spacing w:val="-2"/>
        </w:rPr>
        <w:t xml:space="preserve"> ryzyk</w:t>
      </w:r>
      <w:r w:rsidR="00EC4268" w:rsidRPr="006C3797">
        <w:rPr>
          <w:rFonts w:cstheme="minorHAnsi"/>
          <w:spacing w:val="-2"/>
        </w:rPr>
        <w:t>a</w:t>
      </w:r>
      <w:r w:rsidRPr="006C3797">
        <w:rPr>
          <w:rFonts w:cstheme="minorHAnsi"/>
          <w:spacing w:val="-2"/>
        </w:rPr>
        <w:t xml:space="preserve"> związan</w:t>
      </w:r>
      <w:r w:rsidR="00EC4268" w:rsidRPr="006C3797">
        <w:rPr>
          <w:rFonts w:cstheme="minorHAnsi"/>
          <w:spacing w:val="-2"/>
        </w:rPr>
        <w:t>ego</w:t>
      </w:r>
      <w:r w:rsidRPr="006C3797">
        <w:rPr>
          <w:rFonts w:cstheme="minorHAnsi"/>
          <w:spacing w:val="-2"/>
        </w:rPr>
        <w:t xml:space="preserve"> z działalnością </w:t>
      </w:r>
      <w:r w:rsidR="00EC4268" w:rsidRPr="006C3797">
        <w:rPr>
          <w:rFonts w:cstheme="minorHAnsi"/>
          <w:spacing w:val="-2"/>
        </w:rPr>
        <w:t xml:space="preserve">Banku </w:t>
      </w:r>
      <w:r w:rsidR="002E664C" w:rsidRPr="006C3797">
        <w:rPr>
          <w:rFonts w:cstheme="minorHAnsi"/>
          <w:spacing w:val="-2"/>
        </w:rPr>
        <w:br/>
      </w:r>
      <w:r w:rsidR="00EC4268" w:rsidRPr="006C3797">
        <w:rPr>
          <w:rFonts w:cstheme="minorHAnsi"/>
          <w:spacing w:val="-2"/>
        </w:rPr>
        <w:t>oraz</w:t>
      </w:r>
      <w:r w:rsidRPr="006C3797">
        <w:rPr>
          <w:rFonts w:cstheme="minorHAnsi"/>
          <w:spacing w:val="-2"/>
        </w:rPr>
        <w:t xml:space="preserve"> zakres i stopi</w:t>
      </w:r>
      <w:r w:rsidR="00EC4268" w:rsidRPr="006C3797">
        <w:rPr>
          <w:rFonts w:cstheme="minorHAnsi"/>
          <w:spacing w:val="-2"/>
        </w:rPr>
        <w:t>eń</w:t>
      </w:r>
      <w:r w:rsidRPr="006C3797">
        <w:rPr>
          <w:rFonts w:cstheme="minorHAnsi"/>
          <w:spacing w:val="-2"/>
        </w:rPr>
        <w:t xml:space="preserve"> złożoności działalności prowadzonej przez Bank.</w:t>
      </w:r>
      <w:r w:rsidR="00A3559B" w:rsidRPr="006C3797">
        <w:rPr>
          <w:rFonts w:cstheme="minorHAnsi"/>
          <w:spacing w:val="-2"/>
        </w:rPr>
        <w:t xml:space="preserve"> </w:t>
      </w:r>
    </w:p>
    <w:p w14:paraId="12C1E860" w14:textId="319337C8" w:rsidR="00531265" w:rsidRPr="006C3797" w:rsidRDefault="00531265" w:rsidP="002E664C">
      <w:pPr>
        <w:pStyle w:val="Akapitzlist"/>
        <w:numPr>
          <w:ilvl w:val="0"/>
          <w:numId w:val="16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pacing w:val="-2"/>
        </w:rPr>
      </w:pPr>
      <w:r w:rsidRPr="006C3797">
        <w:rPr>
          <w:rFonts w:cstheme="minorHAnsi"/>
          <w:spacing w:val="-2"/>
        </w:rPr>
        <w:t>Polityka wynagrodzeń oparta jest na zasadzie równości wynagrodzeń za tę samą pracę lub pracę</w:t>
      </w:r>
      <w:r w:rsidR="002E664C" w:rsidRPr="006C3797">
        <w:rPr>
          <w:rFonts w:cstheme="minorHAnsi"/>
          <w:spacing w:val="-2"/>
        </w:rPr>
        <w:br/>
      </w:r>
      <w:r w:rsidRPr="006C3797">
        <w:rPr>
          <w:rFonts w:cstheme="minorHAnsi"/>
          <w:spacing w:val="-2"/>
        </w:rPr>
        <w:t>o tej samej wartości i jest neutralna pod względem płci.</w:t>
      </w:r>
    </w:p>
    <w:p w14:paraId="3DCDA7EB" w14:textId="49B5AE9D" w:rsidR="006346C4" w:rsidRDefault="006346C4" w:rsidP="006C3797">
      <w:pPr>
        <w:pStyle w:val="Akapitzlist"/>
        <w:spacing w:after="120" w:line="240" w:lineRule="auto"/>
        <w:ind w:left="426"/>
        <w:contextualSpacing w:val="0"/>
        <w:jc w:val="both"/>
        <w:rPr>
          <w:rFonts w:cstheme="minorHAnsi"/>
          <w:color w:val="FF0000"/>
          <w:spacing w:val="-2"/>
        </w:rPr>
      </w:pPr>
    </w:p>
    <w:p w14:paraId="50F2316B" w14:textId="77777777" w:rsidR="001B2B0F" w:rsidRPr="00483CF5" w:rsidRDefault="001B2B0F" w:rsidP="001B2B0F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>§ 3.</w:t>
      </w:r>
    </w:p>
    <w:p w14:paraId="5F936D28" w14:textId="77777777" w:rsidR="00E826B4" w:rsidRPr="00483CF5" w:rsidRDefault="00761BAF" w:rsidP="00D40593">
      <w:pPr>
        <w:pStyle w:val="Akapitzlist"/>
        <w:numPr>
          <w:ilvl w:val="0"/>
          <w:numId w:val="13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pacing w:val="-2"/>
        </w:rPr>
      </w:pPr>
      <w:r w:rsidRPr="00483CF5">
        <w:rPr>
          <w:rFonts w:cstheme="minorHAnsi"/>
          <w:spacing w:val="-2"/>
        </w:rPr>
        <w:t>Postanowienia Polityki znajdują odzwierciedlenie</w:t>
      </w:r>
      <w:r w:rsidR="00E826B4" w:rsidRPr="00483CF5">
        <w:rPr>
          <w:rFonts w:cstheme="minorHAnsi"/>
          <w:spacing w:val="-2"/>
        </w:rPr>
        <w:t>:</w:t>
      </w:r>
    </w:p>
    <w:p w14:paraId="572C2D1E" w14:textId="77CFAE8C" w:rsidR="00E826B4" w:rsidRPr="00483CF5" w:rsidRDefault="00761BAF" w:rsidP="00D40593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cstheme="minorHAnsi"/>
          <w:spacing w:val="-2"/>
        </w:rPr>
      </w:pPr>
      <w:r w:rsidRPr="00483CF5">
        <w:rPr>
          <w:rFonts w:cstheme="minorHAnsi"/>
          <w:spacing w:val="-2"/>
        </w:rPr>
        <w:t>we wdrażanych w Banku regulacjach określających zasady wynagradzania pracowników</w:t>
      </w:r>
      <w:r w:rsidR="00432E1C" w:rsidRPr="00483CF5">
        <w:rPr>
          <w:rFonts w:cstheme="minorHAnsi"/>
          <w:spacing w:val="-2"/>
        </w:rPr>
        <w:t xml:space="preserve"> </w:t>
      </w:r>
      <w:r w:rsidR="00FE548D" w:rsidRPr="00483CF5">
        <w:rPr>
          <w:rFonts w:cstheme="minorHAnsi"/>
          <w:spacing w:val="-2"/>
        </w:rPr>
        <w:t xml:space="preserve">  </w:t>
      </w:r>
      <w:r w:rsidRPr="00483CF5">
        <w:rPr>
          <w:rFonts w:cstheme="minorHAnsi"/>
          <w:spacing w:val="-2"/>
        </w:rPr>
        <w:t>zat</w:t>
      </w:r>
      <w:r w:rsidR="008F222D" w:rsidRPr="00483CF5">
        <w:rPr>
          <w:rFonts w:cstheme="minorHAnsi"/>
          <w:spacing w:val="-2"/>
        </w:rPr>
        <w:t>rudnionych na podstawie umowy o </w:t>
      </w:r>
      <w:r w:rsidRPr="00483CF5">
        <w:rPr>
          <w:rFonts w:cstheme="minorHAnsi"/>
          <w:spacing w:val="-2"/>
        </w:rPr>
        <w:t>pracę</w:t>
      </w:r>
      <w:r w:rsidR="002E664C">
        <w:rPr>
          <w:rFonts w:cstheme="minorHAnsi"/>
          <w:spacing w:val="-2"/>
        </w:rPr>
        <w:t>;</w:t>
      </w:r>
    </w:p>
    <w:p w14:paraId="0B233B71" w14:textId="75682838" w:rsidR="00E826B4" w:rsidRPr="00483CF5" w:rsidRDefault="00E826B4" w:rsidP="00D40593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cstheme="minorHAnsi"/>
          <w:spacing w:val="-2"/>
        </w:rPr>
      </w:pPr>
      <w:r w:rsidRPr="00483CF5">
        <w:rPr>
          <w:rFonts w:cstheme="minorHAnsi"/>
          <w:spacing w:val="-2"/>
        </w:rPr>
        <w:t xml:space="preserve">zawieranych umowach </w:t>
      </w:r>
      <w:r w:rsidR="00761BAF" w:rsidRPr="00483CF5">
        <w:rPr>
          <w:rFonts w:cstheme="minorHAnsi"/>
          <w:spacing w:val="-2"/>
        </w:rPr>
        <w:t>zlecenia lub inn</w:t>
      </w:r>
      <w:r w:rsidRPr="00483CF5">
        <w:rPr>
          <w:rFonts w:cstheme="minorHAnsi"/>
          <w:spacing w:val="-2"/>
        </w:rPr>
        <w:t>ych</w:t>
      </w:r>
      <w:r w:rsidR="00761BAF" w:rsidRPr="00483CF5">
        <w:rPr>
          <w:rFonts w:cstheme="minorHAnsi"/>
          <w:spacing w:val="-2"/>
        </w:rPr>
        <w:t xml:space="preserve"> umowy o podobnym charakterze</w:t>
      </w:r>
      <w:r w:rsidR="002E664C">
        <w:rPr>
          <w:rFonts w:cstheme="minorHAnsi"/>
          <w:spacing w:val="-2"/>
        </w:rPr>
        <w:t>;</w:t>
      </w:r>
    </w:p>
    <w:p w14:paraId="765EA451" w14:textId="37DBD3D2" w:rsidR="00761BAF" w:rsidRPr="00483CF5" w:rsidRDefault="00432E1C" w:rsidP="00D40593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cstheme="minorHAnsi"/>
          <w:spacing w:val="-2"/>
        </w:rPr>
      </w:pPr>
      <w:r w:rsidRPr="00483CF5">
        <w:rPr>
          <w:rFonts w:cstheme="minorHAnsi"/>
          <w:spacing w:val="-2"/>
        </w:rPr>
        <w:t>uchwałach Zebrania Przedstawicieli dotyczących ustalania wysokości wynagrodzenia</w:t>
      </w:r>
      <w:r w:rsidR="00A00297" w:rsidRPr="00483CF5">
        <w:rPr>
          <w:rFonts w:cstheme="minorHAnsi"/>
          <w:spacing w:val="-2"/>
        </w:rPr>
        <w:t xml:space="preserve"> </w:t>
      </w:r>
      <w:r w:rsidRPr="00483CF5">
        <w:rPr>
          <w:rFonts w:cstheme="minorHAnsi"/>
          <w:spacing w:val="-2"/>
        </w:rPr>
        <w:t>dla Rady Nadzorczej</w:t>
      </w:r>
      <w:r w:rsidR="002E664C">
        <w:rPr>
          <w:rFonts w:cstheme="minorHAnsi"/>
          <w:spacing w:val="-2"/>
        </w:rPr>
        <w:t>;</w:t>
      </w:r>
    </w:p>
    <w:p w14:paraId="402D6BF5" w14:textId="20A20158" w:rsidR="00432E1C" w:rsidRPr="00483CF5" w:rsidRDefault="00432E1C" w:rsidP="00D40593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cstheme="minorHAnsi"/>
          <w:spacing w:val="-2"/>
        </w:rPr>
      </w:pPr>
      <w:r w:rsidRPr="00D40593">
        <w:rPr>
          <w:rFonts w:cstheme="minorHAnsi"/>
          <w:spacing w:val="-2"/>
        </w:rPr>
        <w:t>w decyzjach Rady Nadzorczej</w:t>
      </w:r>
      <w:r w:rsidRPr="00483CF5">
        <w:rPr>
          <w:rFonts w:cstheme="minorHAnsi"/>
        </w:rPr>
        <w:t xml:space="preserve"> dotyczących ustalania wynagrodzenia dla członków Zarządu.</w:t>
      </w:r>
    </w:p>
    <w:p w14:paraId="27D2BE73" w14:textId="0759F34A" w:rsidR="00675686" w:rsidRPr="00483CF5" w:rsidRDefault="00675686" w:rsidP="00D40593">
      <w:pPr>
        <w:pStyle w:val="Akapitzlist"/>
        <w:numPr>
          <w:ilvl w:val="0"/>
          <w:numId w:val="13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pacing w:val="-2"/>
        </w:rPr>
      </w:pPr>
      <w:r w:rsidRPr="00483CF5">
        <w:rPr>
          <w:rFonts w:cstheme="minorHAnsi"/>
          <w:spacing w:val="-2"/>
        </w:rPr>
        <w:t>Bank unika nieuzasadnionych, złożonych praktyk i procedur w zakresie wynagradzania</w:t>
      </w:r>
      <w:r w:rsidR="006F52AE" w:rsidRPr="00483CF5">
        <w:rPr>
          <w:rFonts w:cstheme="minorHAnsi"/>
          <w:spacing w:val="-2"/>
        </w:rPr>
        <w:t xml:space="preserve"> </w:t>
      </w:r>
      <w:r w:rsidR="002E664C">
        <w:rPr>
          <w:rFonts w:cstheme="minorHAnsi"/>
          <w:spacing w:val="-2"/>
        </w:rPr>
        <w:br/>
      </w:r>
      <w:r w:rsidR="006F52AE" w:rsidRPr="00483CF5">
        <w:rPr>
          <w:rFonts w:cstheme="minorHAnsi"/>
          <w:spacing w:val="-2"/>
        </w:rPr>
        <w:t>oraz zapewnia dostęp do regulacji określających zasady wynagradzania</w:t>
      </w:r>
      <w:r w:rsidR="00234294" w:rsidRPr="00483CF5">
        <w:rPr>
          <w:rFonts w:cstheme="minorHAnsi"/>
          <w:spacing w:val="-2"/>
        </w:rPr>
        <w:t xml:space="preserve"> pracownikom, a także innym </w:t>
      </w:r>
      <w:r w:rsidR="00234294" w:rsidRPr="00483CF5">
        <w:rPr>
          <w:rFonts w:cstheme="minorHAnsi"/>
          <w:spacing w:val="-2"/>
        </w:rPr>
        <w:lastRenderedPageBreak/>
        <w:t xml:space="preserve">interesariuszom, w szczególności klientom oraz </w:t>
      </w:r>
      <w:r w:rsidR="00FD3BAE" w:rsidRPr="00483CF5">
        <w:rPr>
          <w:rFonts w:cstheme="minorHAnsi"/>
          <w:spacing w:val="-2"/>
        </w:rPr>
        <w:t>akcjonariuszom</w:t>
      </w:r>
      <w:r w:rsidR="00234294" w:rsidRPr="00483CF5">
        <w:rPr>
          <w:rFonts w:cstheme="minorHAnsi"/>
          <w:spacing w:val="-2"/>
        </w:rPr>
        <w:t>, w zakresie niezbędnym do ochrony ich praw</w:t>
      </w:r>
      <w:r w:rsidR="006F52AE" w:rsidRPr="00483CF5">
        <w:rPr>
          <w:rFonts w:cstheme="minorHAnsi"/>
          <w:spacing w:val="-2"/>
        </w:rPr>
        <w:t>.</w:t>
      </w:r>
      <w:r w:rsidR="00A3559B" w:rsidRPr="00483CF5">
        <w:rPr>
          <w:rFonts w:eastAsia="Times New Roman" w:cstheme="minorHAnsi"/>
          <w:i/>
          <w:color w:val="FF00FF"/>
          <w:lang w:eastAsia="pl-PL"/>
        </w:rPr>
        <w:t xml:space="preserve"> </w:t>
      </w:r>
    </w:p>
    <w:p w14:paraId="5AE1018A" w14:textId="21C47C9C" w:rsidR="00AC1F5C" w:rsidRPr="00483CF5" w:rsidRDefault="00AC1F5C" w:rsidP="00946F10">
      <w:pPr>
        <w:pStyle w:val="Nagwek1"/>
        <w:rPr>
          <w:rFonts w:asciiTheme="minorHAnsi" w:hAnsiTheme="minorHAnsi" w:cstheme="minorHAnsi"/>
          <w:sz w:val="22"/>
          <w:szCs w:val="22"/>
        </w:rPr>
      </w:pPr>
      <w:bookmarkStart w:id="2" w:name="_Toc531951324"/>
      <w:bookmarkStart w:id="3" w:name="_Toc531952450"/>
      <w:bookmarkStart w:id="4" w:name="_Toc531952515"/>
      <w:bookmarkStart w:id="5" w:name="_Toc531951326"/>
      <w:bookmarkStart w:id="6" w:name="_Toc531952452"/>
      <w:bookmarkStart w:id="7" w:name="_Toc531952517"/>
      <w:bookmarkStart w:id="8" w:name="_Toc101957809"/>
      <w:bookmarkEnd w:id="2"/>
      <w:bookmarkEnd w:id="3"/>
      <w:bookmarkEnd w:id="4"/>
      <w:bookmarkEnd w:id="5"/>
      <w:bookmarkEnd w:id="6"/>
      <w:bookmarkEnd w:id="7"/>
      <w:r w:rsidRPr="00483CF5">
        <w:rPr>
          <w:rFonts w:asciiTheme="minorHAnsi" w:hAnsiTheme="minorHAnsi" w:cstheme="minorHAnsi"/>
          <w:sz w:val="22"/>
          <w:szCs w:val="22"/>
        </w:rPr>
        <w:t xml:space="preserve">Kryteria podziału </w:t>
      </w:r>
      <w:r w:rsidR="00307449" w:rsidRPr="00483CF5">
        <w:rPr>
          <w:rFonts w:asciiTheme="minorHAnsi" w:hAnsiTheme="minorHAnsi" w:cstheme="minorHAnsi"/>
          <w:sz w:val="22"/>
          <w:szCs w:val="22"/>
        </w:rPr>
        <w:t xml:space="preserve">wynagrodzenia całkowitego </w:t>
      </w:r>
      <w:r w:rsidRPr="00483CF5">
        <w:rPr>
          <w:rFonts w:asciiTheme="minorHAnsi" w:hAnsiTheme="minorHAnsi" w:cstheme="minorHAnsi"/>
          <w:sz w:val="22"/>
          <w:szCs w:val="22"/>
        </w:rPr>
        <w:t xml:space="preserve">na </w:t>
      </w:r>
      <w:r w:rsidR="00037760" w:rsidRPr="00483CF5">
        <w:rPr>
          <w:rFonts w:asciiTheme="minorHAnsi" w:hAnsiTheme="minorHAnsi" w:cstheme="minorHAnsi"/>
          <w:sz w:val="22"/>
          <w:szCs w:val="22"/>
        </w:rPr>
        <w:t xml:space="preserve">wynagrodzenie </w:t>
      </w:r>
      <w:r w:rsidRPr="00483CF5">
        <w:rPr>
          <w:rFonts w:asciiTheme="minorHAnsi" w:hAnsiTheme="minorHAnsi" w:cstheme="minorHAnsi"/>
          <w:sz w:val="22"/>
          <w:szCs w:val="22"/>
        </w:rPr>
        <w:t>stałe i zmienne</w:t>
      </w:r>
      <w:bookmarkEnd w:id="8"/>
    </w:p>
    <w:p w14:paraId="0504FB14" w14:textId="77777777" w:rsidR="00A948A3" w:rsidRPr="00483CF5" w:rsidRDefault="00A948A3" w:rsidP="00E1280A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 xml:space="preserve">§ </w:t>
      </w:r>
      <w:r w:rsidR="002F300A" w:rsidRPr="00483CF5">
        <w:rPr>
          <w:rFonts w:cstheme="minorHAnsi"/>
          <w:b/>
          <w:bCs/>
        </w:rPr>
        <w:t>4</w:t>
      </w:r>
      <w:r w:rsidRPr="00483CF5">
        <w:rPr>
          <w:rFonts w:cstheme="minorHAnsi"/>
          <w:b/>
          <w:bCs/>
        </w:rPr>
        <w:t>.</w:t>
      </w:r>
    </w:p>
    <w:p w14:paraId="2B20EFFB" w14:textId="64E73198" w:rsidR="00060CBA" w:rsidRDefault="0054411D" w:rsidP="00CA00E8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Na</w:t>
      </w:r>
      <w:r w:rsidR="00060CBA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system wynagrodzeń w Banku składają się </w:t>
      </w:r>
      <w:r w:rsidR="00060CBA" w:rsidRPr="00483CF5">
        <w:rPr>
          <w:rFonts w:eastAsia="Times New Roman" w:cstheme="minorHAnsi"/>
          <w:bCs/>
          <w:color w:val="101010"/>
          <w:lang w:eastAsia="pl-PL"/>
        </w:rPr>
        <w:t xml:space="preserve">wynagrodzenia stałe </w:t>
      </w:r>
      <w:r w:rsidRPr="00483CF5">
        <w:rPr>
          <w:rFonts w:eastAsia="Times New Roman" w:cstheme="minorHAnsi"/>
          <w:bCs/>
          <w:color w:val="101010"/>
          <w:lang w:eastAsia="pl-PL"/>
        </w:rPr>
        <w:t>i</w:t>
      </w:r>
      <w:r w:rsidR="00060CBA" w:rsidRPr="00483CF5">
        <w:rPr>
          <w:rFonts w:eastAsia="Times New Roman" w:cstheme="minorHAnsi"/>
          <w:bCs/>
          <w:color w:val="101010"/>
          <w:lang w:eastAsia="pl-PL"/>
        </w:rPr>
        <w:t xml:space="preserve"> wynagrodzenia zmienne</w:t>
      </w:r>
      <w:r w:rsidR="005E012B" w:rsidRPr="00483CF5">
        <w:rPr>
          <w:rFonts w:eastAsia="Times New Roman" w:cstheme="minorHAnsi"/>
          <w:bCs/>
          <w:color w:val="101010"/>
          <w:lang w:eastAsia="pl-PL"/>
        </w:rPr>
        <w:t>,</w:t>
      </w:r>
      <w:r w:rsidR="002F1811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  <w:r w:rsidR="002E664C">
        <w:rPr>
          <w:rFonts w:eastAsia="Times New Roman" w:cstheme="minorHAnsi"/>
          <w:bCs/>
          <w:color w:val="101010"/>
          <w:lang w:eastAsia="pl-PL"/>
        </w:rPr>
        <w:br/>
      </w:r>
      <w:r w:rsidR="002F1811" w:rsidRPr="00483CF5">
        <w:rPr>
          <w:rFonts w:eastAsia="Times New Roman" w:cstheme="minorHAnsi"/>
          <w:bCs/>
          <w:color w:val="101010"/>
          <w:lang w:eastAsia="pl-PL"/>
        </w:rPr>
        <w:t>z zastrzeżeniem ust. 2</w:t>
      </w:r>
      <w:r w:rsidR="005B2535" w:rsidRPr="00483CF5">
        <w:rPr>
          <w:rFonts w:eastAsia="Times New Roman" w:cstheme="minorHAnsi"/>
          <w:bCs/>
          <w:color w:val="101010"/>
          <w:lang w:eastAsia="pl-PL"/>
        </w:rPr>
        <w:t>,</w:t>
      </w:r>
      <w:r w:rsidR="00A4774D" w:rsidRPr="00483CF5">
        <w:rPr>
          <w:rFonts w:eastAsia="Times New Roman" w:cstheme="minorHAnsi"/>
          <w:bCs/>
          <w:color w:val="101010"/>
          <w:lang w:eastAsia="pl-PL"/>
        </w:rPr>
        <w:t xml:space="preserve"> 3</w:t>
      </w:r>
      <w:r w:rsidR="005B2535" w:rsidRPr="00483CF5">
        <w:rPr>
          <w:rFonts w:eastAsia="Times New Roman" w:cstheme="minorHAnsi"/>
          <w:bCs/>
          <w:color w:val="101010"/>
          <w:lang w:eastAsia="pl-PL"/>
        </w:rPr>
        <w:t xml:space="preserve"> i 4</w:t>
      </w:r>
      <w:r w:rsidR="002F1811" w:rsidRPr="00483CF5">
        <w:rPr>
          <w:rFonts w:eastAsia="Times New Roman" w:cstheme="minorHAnsi"/>
          <w:bCs/>
          <w:color w:val="101010"/>
          <w:lang w:eastAsia="pl-PL"/>
        </w:rPr>
        <w:t>,</w:t>
      </w:r>
      <w:r w:rsidR="005E012B" w:rsidRPr="00483CF5">
        <w:rPr>
          <w:rFonts w:eastAsia="Times New Roman" w:cstheme="minorHAnsi"/>
          <w:bCs/>
          <w:color w:val="101010"/>
          <w:lang w:eastAsia="pl-PL"/>
        </w:rPr>
        <w:t xml:space="preserve"> przy czym </w:t>
      </w:r>
      <w:r w:rsidR="005E012B" w:rsidRPr="00483CF5">
        <w:rPr>
          <w:rFonts w:cstheme="minorHAnsi"/>
          <w:spacing w:val="-3"/>
        </w:rPr>
        <w:t xml:space="preserve">stałe składniki winny </w:t>
      </w:r>
      <w:r w:rsidR="005E012B" w:rsidRPr="00483CF5">
        <w:rPr>
          <w:rFonts w:cstheme="minorHAnsi"/>
          <w:spacing w:val="-1"/>
        </w:rPr>
        <w:t xml:space="preserve">stanowić na tyle dużą część łącznego wynagrodzenia, aby możliwe było prowadzenie </w:t>
      </w:r>
      <w:r w:rsidR="005E012B" w:rsidRPr="00483CF5">
        <w:rPr>
          <w:rFonts w:cstheme="minorHAnsi"/>
          <w:spacing w:val="-3"/>
        </w:rPr>
        <w:t xml:space="preserve">elastycznej polityki zmiennych składników wynagrodzenia, w tym </w:t>
      </w:r>
      <w:r w:rsidR="00234294" w:rsidRPr="00483CF5">
        <w:rPr>
          <w:rFonts w:cstheme="minorHAnsi"/>
          <w:spacing w:val="-3"/>
        </w:rPr>
        <w:t xml:space="preserve">obniżanie </w:t>
      </w:r>
      <w:r w:rsidR="005E012B" w:rsidRPr="00483CF5">
        <w:rPr>
          <w:rFonts w:cstheme="minorHAnsi"/>
          <w:spacing w:val="-3"/>
        </w:rPr>
        <w:t xml:space="preserve">lub nie </w:t>
      </w:r>
      <w:r w:rsidR="00234294" w:rsidRPr="00483CF5">
        <w:rPr>
          <w:rFonts w:cstheme="minorHAnsi"/>
          <w:spacing w:val="-3"/>
        </w:rPr>
        <w:t xml:space="preserve">przyznawanie </w:t>
      </w:r>
      <w:r w:rsidR="005E012B" w:rsidRPr="00483CF5">
        <w:rPr>
          <w:rFonts w:cstheme="minorHAnsi"/>
        </w:rPr>
        <w:t xml:space="preserve">w ogóle </w:t>
      </w:r>
      <w:r w:rsidR="005E012B" w:rsidRPr="00483CF5">
        <w:rPr>
          <w:rFonts w:eastAsia="Times New Roman" w:cstheme="minorHAnsi"/>
          <w:bCs/>
          <w:color w:val="101010"/>
          <w:lang w:eastAsia="pl-PL"/>
        </w:rPr>
        <w:t xml:space="preserve">zmiennych składników </w:t>
      </w:r>
      <w:r w:rsidR="005E012B" w:rsidRPr="006C3797">
        <w:rPr>
          <w:rFonts w:eastAsia="Times New Roman" w:cstheme="minorHAnsi"/>
          <w:bCs/>
          <w:color w:val="101010"/>
          <w:lang w:eastAsia="pl-PL"/>
        </w:rPr>
        <w:t>wynagrodzenia</w:t>
      </w:r>
      <w:r w:rsidR="00060CBA" w:rsidRPr="006C3797">
        <w:rPr>
          <w:rFonts w:eastAsia="Times New Roman" w:cstheme="minorHAnsi"/>
          <w:bCs/>
          <w:color w:val="101010"/>
          <w:lang w:eastAsia="pl-PL"/>
        </w:rPr>
        <w:t>.</w:t>
      </w:r>
    </w:p>
    <w:p w14:paraId="6AF120FF" w14:textId="64C759DA" w:rsidR="001359F6" w:rsidRPr="001359F6" w:rsidRDefault="001359F6" w:rsidP="001359F6">
      <w:pPr>
        <w:pStyle w:val="Default"/>
        <w:rPr>
          <w:rFonts w:ascii="Tahoma" w:hAnsi="Tahoma" w:cs="Tahoma"/>
        </w:rPr>
      </w:pPr>
    </w:p>
    <w:p w14:paraId="3F8BBD10" w14:textId="738BFA8A" w:rsidR="001359F6" w:rsidRPr="0085017A" w:rsidRDefault="001359F6" w:rsidP="00C079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85017A">
        <w:rPr>
          <w:rFonts w:cstheme="minorHAnsi"/>
        </w:rPr>
        <w:t>Łączna kwota wypłaconych zmiennych składników wynagradzania osobom</w:t>
      </w:r>
      <w:r w:rsidR="003B3142" w:rsidRPr="0085017A">
        <w:t>, o których mowa w § 1 ust.2 pkt 8,</w:t>
      </w:r>
      <w:r w:rsidRPr="0085017A">
        <w:rPr>
          <w:rFonts w:cstheme="minorHAnsi"/>
        </w:rPr>
        <w:t xml:space="preserve"> za dany rok nie może spowodować obniżenia wyniku finansowego do poziomu, który nie zapewni realnego przyrostu funduszy własnych Banku oraz budowy bezpiecznej bazy kapitałowej. </w:t>
      </w:r>
    </w:p>
    <w:p w14:paraId="3093B7BE" w14:textId="03278538" w:rsidR="00A70645" w:rsidRPr="006C3797" w:rsidRDefault="00A70645" w:rsidP="00E905EC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6C3797">
        <w:t xml:space="preserve">Maksymalny stosunek średniego całkowitego wynagrodzenia brutto członków Zarządu w okresie rocznym do średniego całkowitego wynagrodzenia brutto pozostałych pracowników Banku </w:t>
      </w:r>
      <w:r w:rsidR="00072DEF" w:rsidRPr="006C3797">
        <w:br/>
      </w:r>
      <w:r w:rsidRPr="006C3797">
        <w:t xml:space="preserve">w okresie rocznym powinien zapewnić skuteczne wykonywanie zadań przez pracowników Banku z uwzględnieniem potrzeby stabilnego i ostrożnego zarządzania Bankiem i nie powinien przekroczyć </w:t>
      </w:r>
      <w:r w:rsidR="001359F6" w:rsidRPr="001359F6">
        <w:t>8</w:t>
      </w:r>
      <w:r w:rsidR="00D00EF9" w:rsidRPr="006C3797">
        <w:t>-krotności.</w:t>
      </w:r>
    </w:p>
    <w:p w14:paraId="29A32F20" w14:textId="42AD3478" w:rsidR="002F1811" w:rsidRPr="00483CF5" w:rsidRDefault="002F1811" w:rsidP="00CA00E8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W celu uniknięcia konfliktu interesów, członkowie Rady Nadzorczej mogą otrzymywać wyłącznie wynagrodzenie stałe.</w:t>
      </w:r>
      <w:r w:rsidR="00A3559B" w:rsidRPr="00483CF5">
        <w:rPr>
          <w:rFonts w:eastAsia="Times New Roman" w:cstheme="minorHAnsi"/>
          <w:i/>
          <w:color w:val="FF00FF"/>
          <w:lang w:eastAsia="pl-PL"/>
        </w:rPr>
        <w:t xml:space="preserve"> </w:t>
      </w:r>
    </w:p>
    <w:p w14:paraId="6797C58E" w14:textId="3AF7CA85" w:rsidR="00A4774D" w:rsidRPr="00483CF5" w:rsidRDefault="00A4774D" w:rsidP="00CA00E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lang w:eastAsia="pl-PL"/>
        </w:rPr>
      </w:pPr>
      <w:r w:rsidRPr="00483CF5">
        <w:rPr>
          <w:rFonts w:eastAsia="Times New Roman" w:cstheme="minorHAnsi"/>
          <w:lang w:eastAsia="pl-PL"/>
        </w:rPr>
        <w:t>Wysokość wynagrodzenia</w:t>
      </w:r>
      <w:r w:rsidR="00A31F67" w:rsidRPr="00483CF5">
        <w:rPr>
          <w:rFonts w:eastAsia="Times New Roman" w:cstheme="minorHAnsi"/>
          <w:lang w:eastAsia="pl-PL"/>
        </w:rPr>
        <w:t>,</w:t>
      </w:r>
      <w:r w:rsidR="00564871" w:rsidRPr="00483CF5">
        <w:rPr>
          <w:rFonts w:eastAsia="Times New Roman" w:cstheme="minorHAnsi"/>
          <w:lang w:eastAsia="pl-PL"/>
        </w:rPr>
        <w:t xml:space="preserve"> w tym wynagrodzenia</w:t>
      </w:r>
      <w:r w:rsidRPr="00483CF5">
        <w:rPr>
          <w:rFonts w:eastAsia="Times New Roman" w:cstheme="minorHAnsi"/>
          <w:lang w:eastAsia="pl-PL"/>
        </w:rPr>
        <w:t xml:space="preserve"> zmiennego</w:t>
      </w:r>
      <w:r w:rsidR="0036186D" w:rsidRPr="00483CF5">
        <w:rPr>
          <w:rFonts w:eastAsia="Times New Roman" w:cstheme="minorHAnsi"/>
          <w:lang w:eastAsia="pl-PL"/>
        </w:rPr>
        <w:t xml:space="preserve"> Głównego </w:t>
      </w:r>
      <w:r w:rsidR="0061231D">
        <w:rPr>
          <w:rFonts w:eastAsia="Times New Roman" w:cstheme="minorHAnsi"/>
          <w:lang w:eastAsia="pl-PL"/>
        </w:rPr>
        <w:t>k</w:t>
      </w:r>
      <w:r w:rsidR="0036186D" w:rsidRPr="00483CF5">
        <w:rPr>
          <w:rFonts w:eastAsia="Times New Roman" w:cstheme="minorHAnsi"/>
          <w:lang w:eastAsia="pl-PL"/>
        </w:rPr>
        <w:t xml:space="preserve">sięgowego </w:t>
      </w:r>
      <w:r w:rsidR="00096121">
        <w:rPr>
          <w:rFonts w:eastAsia="Times New Roman" w:cstheme="minorHAnsi"/>
          <w:lang w:eastAsia="pl-PL"/>
        </w:rPr>
        <w:br/>
      </w:r>
      <w:r w:rsidR="0036186D" w:rsidRPr="00483CF5">
        <w:rPr>
          <w:rFonts w:eastAsia="Times New Roman" w:cstheme="minorHAnsi"/>
          <w:lang w:eastAsia="pl-PL"/>
        </w:rPr>
        <w:t xml:space="preserve">oraz </w:t>
      </w:r>
      <w:r w:rsidRPr="00483CF5">
        <w:rPr>
          <w:rFonts w:eastAsia="Times New Roman" w:cstheme="minorHAnsi"/>
          <w:lang w:eastAsia="pl-PL"/>
        </w:rPr>
        <w:t xml:space="preserve"> pracownik</w:t>
      </w:r>
      <w:r w:rsidR="003F5C2A" w:rsidRPr="00483CF5">
        <w:rPr>
          <w:rFonts w:eastAsia="Times New Roman" w:cstheme="minorHAnsi"/>
          <w:lang w:eastAsia="pl-PL"/>
        </w:rPr>
        <w:t>a</w:t>
      </w:r>
      <w:r w:rsidRPr="00483CF5">
        <w:rPr>
          <w:rFonts w:eastAsia="Times New Roman" w:cstheme="minorHAnsi"/>
          <w:lang w:eastAsia="pl-PL"/>
        </w:rPr>
        <w:t xml:space="preserve"> </w:t>
      </w:r>
      <w:r w:rsidR="00DC0609" w:rsidRPr="00483CF5">
        <w:rPr>
          <w:rFonts w:eastAsia="Times New Roman" w:cstheme="minorHAnsi"/>
          <w:lang w:eastAsia="pl-PL"/>
        </w:rPr>
        <w:t xml:space="preserve">zatrudnionego na </w:t>
      </w:r>
      <w:r w:rsidR="0061231D">
        <w:rPr>
          <w:rFonts w:eastAsia="Times New Roman" w:cstheme="minorHAnsi"/>
          <w:lang w:eastAsia="pl-PL"/>
        </w:rPr>
        <w:t>S</w:t>
      </w:r>
      <w:r w:rsidR="00DC0609" w:rsidRPr="00483CF5">
        <w:rPr>
          <w:rFonts w:eastAsia="Times New Roman" w:cstheme="minorHAnsi"/>
          <w:lang w:eastAsia="pl-PL"/>
        </w:rPr>
        <w:t>tanowisku</w:t>
      </w:r>
      <w:r w:rsidR="00363DF9" w:rsidRPr="00483CF5">
        <w:rPr>
          <w:rFonts w:eastAsia="Times New Roman" w:cstheme="minorHAnsi"/>
          <w:lang w:eastAsia="pl-PL"/>
        </w:rPr>
        <w:t xml:space="preserve"> ds. zgodności</w:t>
      </w:r>
      <w:r w:rsidR="00CB488F" w:rsidRPr="00483CF5">
        <w:rPr>
          <w:rFonts w:eastAsia="Times New Roman" w:cstheme="minorHAnsi"/>
          <w:lang w:eastAsia="pl-PL"/>
        </w:rPr>
        <w:t xml:space="preserve"> i kontroli wewnętrznej</w:t>
      </w:r>
      <w:r w:rsidRPr="00483CF5">
        <w:rPr>
          <w:rFonts w:eastAsia="Times New Roman" w:cstheme="minorHAnsi"/>
          <w:lang w:eastAsia="pl-PL"/>
        </w:rPr>
        <w:t xml:space="preserve"> nie jest uzależniona od wyników finansowych Banku, a ich wynagrodze</w:t>
      </w:r>
      <w:r w:rsidR="00564871" w:rsidRPr="00483CF5">
        <w:rPr>
          <w:rFonts w:eastAsia="Times New Roman" w:cstheme="minorHAnsi"/>
          <w:lang w:eastAsia="pl-PL"/>
        </w:rPr>
        <w:t>nie</w:t>
      </w:r>
      <w:r w:rsidRPr="00483CF5">
        <w:rPr>
          <w:rFonts w:eastAsia="Times New Roman" w:cstheme="minorHAnsi"/>
          <w:lang w:eastAsia="pl-PL"/>
        </w:rPr>
        <w:t xml:space="preserve"> powinno by</w:t>
      </w:r>
      <w:r w:rsidR="002216D5" w:rsidRPr="00483CF5">
        <w:rPr>
          <w:rFonts w:eastAsia="Times New Roman" w:cstheme="minorHAnsi"/>
          <w:lang w:eastAsia="pl-PL"/>
        </w:rPr>
        <w:t>ć w przeważającej mierze stałe.</w:t>
      </w:r>
    </w:p>
    <w:p w14:paraId="7453A847" w14:textId="77777777" w:rsidR="00975842" w:rsidRPr="00483CF5" w:rsidRDefault="00975842" w:rsidP="00CA00E8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Wynagrodzenie jest stałe, jeżeli warunki jego przyznania i jego wysokość:</w:t>
      </w:r>
    </w:p>
    <w:p w14:paraId="486B9AD6" w14:textId="77777777" w:rsidR="00975842" w:rsidRPr="00483CF5" w:rsidRDefault="00975842" w:rsidP="00B241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</w:rPr>
        <w:t>opierają się na z góry określonych kryteriach;</w:t>
      </w:r>
    </w:p>
    <w:p w14:paraId="631FE512" w14:textId="537BAE3A" w:rsidR="00975842" w:rsidRPr="00483CF5" w:rsidRDefault="00791F2F" w:rsidP="00B241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</w:rPr>
        <w:t>nie są uznaniowe</w:t>
      </w:r>
      <w:r w:rsidR="00975842" w:rsidRPr="00483CF5">
        <w:rPr>
          <w:rFonts w:cstheme="minorHAnsi"/>
        </w:rPr>
        <w:t xml:space="preserve"> i odzwierciedlają poziom doświadczenia zawodowego oraz miejsce </w:t>
      </w:r>
      <w:r w:rsidR="00096121">
        <w:rPr>
          <w:rFonts w:cstheme="minorHAnsi"/>
        </w:rPr>
        <w:br/>
      </w:r>
      <w:r w:rsidR="00975842" w:rsidRPr="00483CF5">
        <w:rPr>
          <w:rFonts w:cstheme="minorHAnsi"/>
        </w:rPr>
        <w:t>w hierarchii służbowej pracownika;</w:t>
      </w:r>
    </w:p>
    <w:p w14:paraId="59A3E1DE" w14:textId="77777777" w:rsidR="00975842" w:rsidRPr="00483CF5" w:rsidRDefault="00975842" w:rsidP="00B241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</w:rPr>
        <w:t>są przejrzyste pod względem kwoty przyznawanej danemu pracownikowi;</w:t>
      </w:r>
    </w:p>
    <w:p w14:paraId="7F1CE4ED" w14:textId="4AD7CCBF" w:rsidR="00975842" w:rsidRPr="00483CF5" w:rsidRDefault="00975842" w:rsidP="00B241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</w:rPr>
        <w:t xml:space="preserve">są trwale obowiązujące, tj. obowiązują przez dany okres pełnienia określonej </w:t>
      </w:r>
      <w:r w:rsidR="00C078FE" w:rsidRPr="00483CF5">
        <w:rPr>
          <w:rFonts w:cstheme="minorHAnsi"/>
        </w:rPr>
        <w:t xml:space="preserve">funkcji </w:t>
      </w:r>
      <w:r w:rsidR="00096121">
        <w:rPr>
          <w:rFonts w:cstheme="minorHAnsi"/>
        </w:rPr>
        <w:br/>
      </w:r>
      <w:r w:rsidRPr="00483CF5">
        <w:rPr>
          <w:rFonts w:cstheme="minorHAnsi"/>
        </w:rPr>
        <w:t>lub wykonywania obowiązków</w:t>
      </w:r>
      <w:r w:rsidR="00EA2631" w:rsidRPr="00483CF5">
        <w:rPr>
          <w:rFonts w:cstheme="minorHAnsi"/>
        </w:rPr>
        <w:t xml:space="preserve"> zawodowych</w:t>
      </w:r>
      <w:r w:rsidRPr="00483CF5">
        <w:rPr>
          <w:rFonts w:cstheme="minorHAnsi"/>
        </w:rPr>
        <w:t>;</w:t>
      </w:r>
    </w:p>
    <w:p w14:paraId="12874BCA" w14:textId="57C188FD" w:rsidR="00975842" w:rsidRPr="00483CF5" w:rsidRDefault="00975842" w:rsidP="00B241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</w:rPr>
        <w:t xml:space="preserve">są nieodwołalne; stała kwota podlega zmianie wyłącznie w drodze rokowań </w:t>
      </w:r>
      <w:r w:rsidR="00234294" w:rsidRPr="00483CF5">
        <w:rPr>
          <w:rFonts w:cstheme="minorHAnsi"/>
        </w:rPr>
        <w:br/>
      </w:r>
      <w:r w:rsidR="00EA2631" w:rsidRPr="00483CF5">
        <w:rPr>
          <w:rFonts w:cstheme="minorHAnsi"/>
        </w:rPr>
        <w:t xml:space="preserve">z </w:t>
      </w:r>
      <w:r w:rsidR="00307449" w:rsidRPr="00483CF5">
        <w:rPr>
          <w:rFonts w:cstheme="minorHAnsi"/>
        </w:rPr>
        <w:t xml:space="preserve">pracownikiem, </w:t>
      </w:r>
      <w:r w:rsidR="00EA2631" w:rsidRPr="00483CF5">
        <w:rPr>
          <w:rFonts w:cstheme="minorHAnsi"/>
        </w:rPr>
        <w:t xml:space="preserve">przedstawicielami organizacji związkowych </w:t>
      </w:r>
      <w:r w:rsidRPr="00483CF5">
        <w:rPr>
          <w:rFonts w:cstheme="minorHAnsi"/>
        </w:rPr>
        <w:t xml:space="preserve">lub w następstwie </w:t>
      </w:r>
      <w:r w:rsidR="00EA2631" w:rsidRPr="00483CF5">
        <w:rPr>
          <w:rFonts w:cstheme="minorHAnsi"/>
        </w:rPr>
        <w:t>zmiany zasad wynagradzania określonych przepisami prawa powszechnego</w:t>
      </w:r>
      <w:r w:rsidRPr="00483CF5">
        <w:rPr>
          <w:rFonts w:cstheme="minorHAnsi"/>
        </w:rPr>
        <w:t>;</w:t>
      </w:r>
    </w:p>
    <w:p w14:paraId="6B73493D" w14:textId="64CA1370" w:rsidR="00975842" w:rsidRPr="00483CF5" w:rsidRDefault="00975842" w:rsidP="00B241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</w:rPr>
        <w:t xml:space="preserve">nie mogą zostać ograniczone, zawieszone ani unieważnione przez </w:t>
      </w:r>
      <w:r w:rsidR="00BB5C19" w:rsidRPr="00483CF5">
        <w:rPr>
          <w:rFonts w:cstheme="minorHAnsi"/>
        </w:rPr>
        <w:t>Bank</w:t>
      </w:r>
      <w:r w:rsidR="005B4EDB" w:rsidRPr="00483CF5">
        <w:rPr>
          <w:rFonts w:cstheme="minorHAnsi"/>
        </w:rPr>
        <w:t>,</w:t>
      </w:r>
      <w:r w:rsidR="008F2580" w:rsidRPr="00483CF5">
        <w:rPr>
          <w:rFonts w:cstheme="minorHAnsi"/>
        </w:rPr>
        <w:t xml:space="preserve"> z </w:t>
      </w:r>
      <w:r w:rsidR="00921C8E" w:rsidRPr="00483CF5">
        <w:rPr>
          <w:rFonts w:cstheme="minorHAnsi"/>
        </w:rPr>
        <w:t xml:space="preserve">zastrzeżeniem realizacji przepisów prawa powszechnego;  </w:t>
      </w:r>
    </w:p>
    <w:p w14:paraId="40CDA697" w14:textId="77777777" w:rsidR="00975842" w:rsidRPr="00483CF5" w:rsidRDefault="00975842" w:rsidP="00B241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</w:rPr>
        <w:t xml:space="preserve">nie stanowią zachęty do podejmowania ryzyka; </w:t>
      </w:r>
      <w:r w:rsidRPr="009B333E">
        <w:rPr>
          <w:rFonts w:cstheme="minorHAnsi"/>
        </w:rPr>
        <w:t>oraz</w:t>
      </w:r>
    </w:p>
    <w:p w14:paraId="2C7CCB65" w14:textId="77777777" w:rsidR="00060CBA" w:rsidRPr="00483CF5" w:rsidRDefault="00975842" w:rsidP="00B241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theme="minorHAnsi"/>
        </w:rPr>
      </w:pPr>
      <w:r w:rsidRPr="00483CF5">
        <w:rPr>
          <w:rFonts w:cstheme="minorHAnsi"/>
        </w:rPr>
        <w:t>nie zależą od wyników.</w:t>
      </w:r>
    </w:p>
    <w:p w14:paraId="4A93A1AE" w14:textId="4F212E33" w:rsidR="00975842" w:rsidRPr="00483CF5" w:rsidRDefault="00EA2631" w:rsidP="00CA00E8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Składnik wynagrodzenia, który nie </w:t>
      </w:r>
      <w:r w:rsidR="00010CC6" w:rsidRPr="00483CF5">
        <w:rPr>
          <w:rFonts w:eastAsia="Times New Roman" w:cstheme="minorHAnsi"/>
          <w:bCs/>
          <w:color w:val="101010"/>
          <w:lang w:eastAsia="pl-PL"/>
        </w:rPr>
        <w:t>spełnia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kryteri</w:t>
      </w:r>
      <w:r w:rsidR="00010CC6" w:rsidRPr="00483CF5">
        <w:rPr>
          <w:rFonts w:eastAsia="Times New Roman" w:cstheme="minorHAnsi"/>
          <w:bCs/>
          <w:color w:val="101010"/>
          <w:lang w:eastAsia="pl-PL"/>
        </w:rPr>
        <w:t>ów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określon</w:t>
      </w:r>
      <w:r w:rsidR="00010CC6" w:rsidRPr="00483CF5">
        <w:rPr>
          <w:rFonts w:eastAsia="Times New Roman" w:cstheme="minorHAnsi"/>
          <w:bCs/>
          <w:color w:val="101010"/>
          <w:lang w:eastAsia="pl-PL"/>
        </w:rPr>
        <w:t>ych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  <w:r w:rsidRPr="006C3797">
        <w:rPr>
          <w:rFonts w:eastAsia="Times New Roman" w:cstheme="minorHAnsi"/>
          <w:bCs/>
          <w:color w:val="101010"/>
          <w:lang w:eastAsia="pl-PL"/>
        </w:rPr>
        <w:t xml:space="preserve">w ust. </w:t>
      </w:r>
      <w:r w:rsidR="00A74168" w:rsidRPr="006C3797">
        <w:rPr>
          <w:rFonts w:eastAsia="Times New Roman" w:cstheme="minorHAnsi"/>
          <w:bCs/>
          <w:color w:val="101010"/>
          <w:lang w:eastAsia="pl-PL"/>
        </w:rPr>
        <w:t>6</w:t>
      </w:r>
      <w:r w:rsidRPr="006C3797">
        <w:rPr>
          <w:rFonts w:eastAsia="Times New Roman" w:cstheme="minorHAnsi"/>
          <w:bCs/>
          <w:color w:val="101010"/>
          <w:lang w:eastAsia="pl-PL"/>
        </w:rPr>
        <w:t>,</w:t>
      </w:r>
      <w:r w:rsidR="00975842" w:rsidRPr="006C3797">
        <w:rPr>
          <w:rFonts w:eastAsia="Times New Roman" w:cstheme="minorHAnsi"/>
          <w:bCs/>
          <w:color w:val="101010"/>
          <w:lang w:eastAsia="pl-PL"/>
        </w:rPr>
        <w:t xml:space="preserve"> uznawany jest </w:t>
      </w:r>
      <w:r w:rsidR="0061231D" w:rsidRPr="006C3797">
        <w:rPr>
          <w:rFonts w:eastAsia="Times New Roman" w:cstheme="minorHAnsi"/>
          <w:bCs/>
          <w:color w:val="101010"/>
          <w:lang w:eastAsia="pl-PL"/>
        </w:rPr>
        <w:br/>
      </w:r>
      <w:r w:rsidRPr="006C3797">
        <w:rPr>
          <w:rFonts w:eastAsia="Times New Roman" w:cstheme="minorHAnsi"/>
          <w:bCs/>
          <w:color w:val="101010"/>
          <w:lang w:eastAsia="pl-PL"/>
        </w:rPr>
        <w:t xml:space="preserve">za </w:t>
      </w:r>
      <w:r w:rsidR="00864DFC" w:rsidRPr="006C3797">
        <w:rPr>
          <w:rFonts w:eastAsia="Times New Roman" w:cstheme="minorHAnsi"/>
          <w:bCs/>
          <w:color w:val="101010"/>
          <w:lang w:eastAsia="pl-PL"/>
        </w:rPr>
        <w:t>składnik zmienny wynagrodzenia</w:t>
      </w:r>
      <w:r w:rsidR="00975842" w:rsidRPr="006C3797">
        <w:rPr>
          <w:rFonts w:eastAsia="Times New Roman" w:cstheme="minorHAnsi"/>
          <w:bCs/>
          <w:color w:val="101010"/>
          <w:lang w:eastAsia="pl-PL"/>
        </w:rPr>
        <w:t>.</w:t>
      </w:r>
    </w:p>
    <w:p w14:paraId="1CAE6EB3" w14:textId="454AA875" w:rsidR="00771D05" w:rsidRPr="00483CF5" w:rsidRDefault="00771D05" w:rsidP="00946F10">
      <w:pPr>
        <w:pStyle w:val="Nagwek1"/>
        <w:rPr>
          <w:rFonts w:asciiTheme="minorHAnsi" w:hAnsiTheme="minorHAnsi" w:cstheme="minorHAnsi"/>
          <w:sz w:val="22"/>
          <w:szCs w:val="22"/>
        </w:rPr>
      </w:pPr>
      <w:bookmarkStart w:id="9" w:name="_Toc101957810"/>
      <w:r w:rsidRPr="00483CF5">
        <w:rPr>
          <w:rFonts w:asciiTheme="minorHAnsi" w:hAnsiTheme="minorHAnsi" w:cstheme="minorHAnsi"/>
          <w:sz w:val="22"/>
          <w:szCs w:val="22"/>
        </w:rPr>
        <w:lastRenderedPageBreak/>
        <w:t xml:space="preserve">Wynagrodzenie </w:t>
      </w:r>
      <w:r w:rsidR="001B2B0F" w:rsidRPr="00483CF5">
        <w:rPr>
          <w:rFonts w:asciiTheme="minorHAnsi" w:hAnsiTheme="minorHAnsi" w:cstheme="minorHAnsi"/>
          <w:sz w:val="22"/>
          <w:szCs w:val="22"/>
        </w:rPr>
        <w:t>stałe</w:t>
      </w:r>
      <w:bookmarkEnd w:id="9"/>
    </w:p>
    <w:p w14:paraId="6AD97E60" w14:textId="77777777" w:rsidR="002D7402" w:rsidRPr="00483CF5" w:rsidRDefault="002D7402" w:rsidP="002D7402">
      <w:pPr>
        <w:pStyle w:val="Nagwek2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bookmarkStart w:id="10" w:name="_Toc101957811"/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Oddział 1. Składniki wynagrodzeń stałych</w:t>
      </w:r>
      <w:bookmarkEnd w:id="10"/>
    </w:p>
    <w:p w14:paraId="34D20F4E" w14:textId="77777777" w:rsidR="002D7402" w:rsidRPr="00483CF5" w:rsidRDefault="004F0F0B" w:rsidP="003F0B2C">
      <w:pPr>
        <w:tabs>
          <w:tab w:val="left" w:pos="1560"/>
          <w:tab w:val="center" w:pos="4536"/>
        </w:tabs>
        <w:spacing w:before="120" w:after="120" w:line="240" w:lineRule="auto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ab/>
      </w:r>
      <w:r w:rsidRPr="00483CF5">
        <w:rPr>
          <w:rFonts w:cstheme="minorHAnsi"/>
          <w:b/>
          <w:bCs/>
        </w:rPr>
        <w:tab/>
      </w:r>
      <w:r w:rsidR="002D7402" w:rsidRPr="00483CF5">
        <w:rPr>
          <w:rFonts w:cstheme="minorHAnsi"/>
          <w:b/>
          <w:bCs/>
        </w:rPr>
        <w:t>§ 5.</w:t>
      </w:r>
    </w:p>
    <w:p w14:paraId="79A1E27F" w14:textId="77777777" w:rsidR="008D62A1" w:rsidRPr="00483CF5" w:rsidRDefault="004F0F0B" w:rsidP="00B24163">
      <w:pPr>
        <w:pStyle w:val="Akapitzlist"/>
        <w:numPr>
          <w:ilvl w:val="0"/>
          <w:numId w:val="10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101010"/>
          <w:lang w:eastAsia="pl-PL"/>
        </w:rPr>
      </w:pPr>
      <w:bookmarkStart w:id="11" w:name="_Hlk60053962"/>
      <w:r w:rsidRPr="00483CF5">
        <w:rPr>
          <w:rFonts w:eastAsia="Times New Roman" w:cstheme="minorHAnsi"/>
          <w:bCs/>
          <w:color w:val="101010"/>
          <w:lang w:eastAsia="pl-PL"/>
        </w:rPr>
        <w:t>Na</w:t>
      </w:r>
      <w:r w:rsidR="002D7402" w:rsidRPr="00483CF5">
        <w:rPr>
          <w:rFonts w:eastAsia="Times New Roman" w:cstheme="minorHAnsi"/>
          <w:bCs/>
          <w:color w:val="101010"/>
          <w:lang w:eastAsia="pl-PL"/>
        </w:rPr>
        <w:t xml:space="preserve"> wynagrodzenia stałe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składają się w </w:t>
      </w:r>
      <w:r w:rsidR="002D7402" w:rsidRPr="00483CF5">
        <w:rPr>
          <w:rFonts w:eastAsia="Times New Roman" w:cstheme="minorHAnsi"/>
          <w:bCs/>
          <w:color w:val="101010"/>
          <w:lang w:eastAsia="pl-PL"/>
        </w:rPr>
        <w:t>szczególności</w:t>
      </w:r>
      <w:r w:rsidR="00234294" w:rsidRPr="00483CF5">
        <w:rPr>
          <w:rFonts w:eastAsia="Times New Roman" w:cstheme="minorHAnsi"/>
          <w:bCs/>
          <w:color w:val="101010"/>
          <w:lang w:eastAsia="pl-PL"/>
        </w:rPr>
        <w:t>:</w:t>
      </w:r>
      <w:r w:rsidR="002D7402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</w:p>
    <w:p w14:paraId="527B270F" w14:textId="77777777" w:rsidR="00B03EEE" w:rsidRPr="00483CF5" w:rsidRDefault="008D62A1" w:rsidP="00B24163">
      <w:pPr>
        <w:pStyle w:val="Akapitzlist"/>
        <w:numPr>
          <w:ilvl w:val="0"/>
          <w:numId w:val="21"/>
        </w:numPr>
        <w:spacing w:before="120" w:after="120" w:line="240" w:lineRule="auto"/>
        <w:ind w:left="851" w:hanging="425"/>
        <w:contextualSpacing w:val="0"/>
        <w:jc w:val="both"/>
        <w:rPr>
          <w:rFonts w:eastAsia="Times New Roman" w:cstheme="minorHAnsi"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przyznawane pracownikom zatrudnionym na podstawie umowy o pracę:</w:t>
      </w:r>
    </w:p>
    <w:p w14:paraId="59964D47" w14:textId="77777777" w:rsidR="00B03EEE" w:rsidRPr="00483CF5" w:rsidRDefault="002D7402" w:rsidP="00B24163">
      <w:pPr>
        <w:pStyle w:val="Akapitzlist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eastAsia="Times New Roman" w:cstheme="minorHAnsi"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wynagrodzenie zasadnicze, </w:t>
      </w:r>
    </w:p>
    <w:p w14:paraId="761F8D08" w14:textId="71B08460" w:rsidR="00B03EEE" w:rsidRPr="00483CF5" w:rsidRDefault="002D7402" w:rsidP="00B24163">
      <w:pPr>
        <w:pStyle w:val="Akapitzlist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eastAsia="Times New Roman" w:cstheme="minorHAnsi"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świadczenia wynikające z przepisów prawa pracy</w:t>
      </w:r>
      <w:r w:rsidR="00096121">
        <w:rPr>
          <w:rFonts w:eastAsia="Times New Roman" w:cstheme="minorHAnsi"/>
          <w:bCs/>
          <w:color w:val="101010"/>
          <w:lang w:eastAsia="pl-PL"/>
        </w:rPr>
        <w:t xml:space="preserve">, 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oraz </w:t>
      </w:r>
    </w:p>
    <w:p w14:paraId="33726FDB" w14:textId="77777777" w:rsidR="008D62A1" w:rsidRPr="00483CF5" w:rsidRDefault="002D7402" w:rsidP="00B24163">
      <w:pPr>
        <w:pStyle w:val="Akapitzlist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eastAsia="Times New Roman" w:cstheme="minorHAnsi"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świadczenia pozapłacowe</w:t>
      </w:r>
      <w:r w:rsidR="005C1559" w:rsidRPr="00483CF5">
        <w:rPr>
          <w:rFonts w:eastAsia="Times New Roman" w:cstheme="minorHAnsi"/>
          <w:bCs/>
          <w:color w:val="101010"/>
          <w:lang w:eastAsia="pl-PL"/>
        </w:rPr>
        <w:t>;</w:t>
      </w:r>
    </w:p>
    <w:p w14:paraId="4839F974" w14:textId="1BD33955" w:rsidR="008D62A1" w:rsidRPr="00483CF5" w:rsidRDefault="008D62A1" w:rsidP="00B24163">
      <w:pPr>
        <w:pStyle w:val="Akapitzlist"/>
        <w:numPr>
          <w:ilvl w:val="0"/>
          <w:numId w:val="21"/>
        </w:numPr>
        <w:spacing w:before="120" w:after="120" w:line="240" w:lineRule="auto"/>
        <w:ind w:left="851" w:hanging="425"/>
        <w:contextualSpacing w:val="0"/>
        <w:jc w:val="both"/>
        <w:rPr>
          <w:rFonts w:eastAsia="Times New Roman" w:cstheme="minorHAnsi"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wynagrodzenia przyznawane członkom Rady Nadzorczej na podstawie uchwały </w:t>
      </w:r>
      <w:r w:rsidR="00A3559B" w:rsidRPr="00483CF5">
        <w:rPr>
          <w:rFonts w:cstheme="minorHAnsi"/>
        </w:rPr>
        <w:t>Zebrania Przedstawicieli</w:t>
      </w:r>
      <w:r w:rsidR="006346C4">
        <w:rPr>
          <w:rFonts w:cstheme="minorHAnsi"/>
        </w:rPr>
        <w:t>;</w:t>
      </w:r>
    </w:p>
    <w:p w14:paraId="7323A942" w14:textId="77777777" w:rsidR="00AB0E49" w:rsidRPr="00483CF5" w:rsidRDefault="008D62A1" w:rsidP="00B24163">
      <w:pPr>
        <w:pStyle w:val="Akapitzlist"/>
        <w:numPr>
          <w:ilvl w:val="0"/>
          <w:numId w:val="21"/>
        </w:numPr>
        <w:spacing w:before="120" w:after="120" w:line="240" w:lineRule="auto"/>
        <w:ind w:left="851" w:hanging="425"/>
        <w:contextualSpacing w:val="0"/>
        <w:jc w:val="both"/>
        <w:rPr>
          <w:rFonts w:eastAsia="Times New Roman" w:cstheme="minorHAnsi"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wynagrodzenia przyznawane pracownikom wykonującym pracę na postawie umowy</w:t>
      </w:r>
      <w:r w:rsidR="004F0F0B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  <w:r w:rsidRPr="00483CF5">
        <w:rPr>
          <w:rFonts w:cstheme="minorHAnsi"/>
        </w:rPr>
        <w:t xml:space="preserve">zlecenia lub innej umowy o podobnym charakterze, </w:t>
      </w:r>
      <w:r w:rsidRPr="00483CF5">
        <w:rPr>
          <w:rFonts w:eastAsia="Times New Roman" w:cstheme="minorHAnsi"/>
          <w:bCs/>
          <w:color w:val="101010"/>
          <w:lang w:eastAsia="pl-PL"/>
        </w:rPr>
        <w:t>zgodnie z treścią umowy</w:t>
      </w:r>
      <w:r w:rsidR="002D7402" w:rsidRPr="00483CF5">
        <w:rPr>
          <w:rFonts w:eastAsia="Times New Roman" w:cstheme="minorHAnsi"/>
          <w:bCs/>
          <w:color w:val="101010"/>
          <w:lang w:eastAsia="pl-PL"/>
        </w:rPr>
        <w:t>.</w:t>
      </w:r>
    </w:p>
    <w:bookmarkEnd w:id="11"/>
    <w:p w14:paraId="3A214C2D" w14:textId="4C6E7284" w:rsidR="002D7402" w:rsidRDefault="002D7402" w:rsidP="00B24163">
      <w:pPr>
        <w:pStyle w:val="Akapitzlist"/>
        <w:numPr>
          <w:ilvl w:val="0"/>
          <w:numId w:val="10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Przyznanie pracownikom stałych składników wynagrodzeń</w:t>
      </w:r>
      <w:r w:rsidR="00096121">
        <w:rPr>
          <w:rFonts w:eastAsia="Times New Roman" w:cstheme="minorHAnsi"/>
          <w:bCs/>
          <w:color w:val="101010"/>
          <w:lang w:eastAsia="pl-PL"/>
        </w:rPr>
        <w:t>,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innych niż </w:t>
      </w:r>
      <w:r w:rsidR="005C1559" w:rsidRPr="00483CF5">
        <w:rPr>
          <w:rFonts w:eastAsia="Times New Roman" w:cstheme="minorHAnsi"/>
          <w:bCs/>
          <w:color w:val="101010"/>
          <w:lang w:eastAsia="pl-PL"/>
        </w:rPr>
        <w:t xml:space="preserve">wymienione </w:t>
      </w:r>
      <w:r w:rsidR="00B75A99" w:rsidRPr="00483CF5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w </w:t>
      </w:r>
      <w:r w:rsidR="004F0F0B" w:rsidRPr="00483CF5">
        <w:rPr>
          <w:rFonts w:eastAsia="Times New Roman" w:cstheme="minorHAnsi"/>
          <w:bCs/>
          <w:color w:val="101010"/>
          <w:lang w:eastAsia="pl-PL"/>
        </w:rPr>
        <w:t>ust. 1</w:t>
      </w:r>
      <w:r w:rsidRPr="00483CF5">
        <w:rPr>
          <w:rFonts w:eastAsia="Times New Roman" w:cstheme="minorHAnsi"/>
          <w:bCs/>
          <w:color w:val="101010"/>
          <w:lang w:eastAsia="pl-PL"/>
        </w:rPr>
        <w:t>, możliwe jest jedynie w wyjątkowych sytuacjach, poprzez wprowadzenie odpowiednich zapisów w regulacjach określających zasady wynagradzania pracowników w Banku</w:t>
      </w:r>
      <w:r w:rsidR="00B75A99" w:rsidRPr="00483CF5">
        <w:rPr>
          <w:rFonts w:eastAsia="Times New Roman" w:cstheme="minorHAnsi"/>
          <w:bCs/>
          <w:color w:val="101010"/>
          <w:lang w:eastAsia="pl-PL"/>
        </w:rPr>
        <w:t>,</w:t>
      </w:r>
      <w:r w:rsidR="00AC73D7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  <w:r w:rsidRPr="00483CF5">
        <w:rPr>
          <w:rFonts w:eastAsia="Times New Roman" w:cstheme="minorHAnsi"/>
          <w:bCs/>
          <w:color w:val="101010"/>
          <w:lang w:eastAsia="pl-PL"/>
        </w:rPr>
        <w:t>umowach zawartych z pracownikami</w:t>
      </w:r>
      <w:r w:rsidR="00D678A0" w:rsidRPr="00483CF5">
        <w:rPr>
          <w:rFonts w:eastAsia="Times New Roman" w:cstheme="minorHAnsi"/>
          <w:bCs/>
          <w:color w:val="101010"/>
          <w:lang w:eastAsia="pl-PL"/>
        </w:rPr>
        <w:t>, a w przypadku członków Zarządu</w:t>
      </w:r>
      <w:r w:rsidR="00F60A4C" w:rsidRPr="00483CF5">
        <w:rPr>
          <w:rFonts w:eastAsia="Times New Roman" w:cstheme="minorHAnsi"/>
          <w:bCs/>
          <w:color w:val="101010"/>
          <w:lang w:eastAsia="pl-PL"/>
        </w:rPr>
        <w:t xml:space="preserve"> lub Rady Nadzorczej</w:t>
      </w:r>
      <w:r w:rsidR="00D678A0" w:rsidRPr="00483CF5">
        <w:rPr>
          <w:rFonts w:eastAsia="Times New Roman" w:cstheme="minorHAnsi"/>
          <w:bCs/>
          <w:color w:val="101010"/>
          <w:lang w:eastAsia="pl-PL"/>
        </w:rPr>
        <w:t xml:space="preserve"> odpowiednio także</w:t>
      </w:r>
      <w:r w:rsidR="00F60A4C" w:rsidRPr="00483CF5">
        <w:rPr>
          <w:rFonts w:eastAsia="Times New Roman" w:cstheme="minorHAnsi"/>
          <w:bCs/>
          <w:color w:val="101010"/>
          <w:lang w:eastAsia="pl-PL"/>
        </w:rPr>
        <w:t xml:space="preserve"> w uchwałach </w:t>
      </w:r>
      <w:r w:rsidR="00D678A0" w:rsidRPr="00483CF5">
        <w:rPr>
          <w:rFonts w:eastAsia="Times New Roman" w:cstheme="minorHAnsi"/>
          <w:bCs/>
          <w:color w:val="101010"/>
          <w:lang w:eastAsia="pl-PL"/>
        </w:rPr>
        <w:t xml:space="preserve">Rady Nadzorczej oraz w uchwałach </w:t>
      </w:r>
      <w:r w:rsidR="002216D5" w:rsidRPr="00483CF5">
        <w:rPr>
          <w:rFonts w:cstheme="minorHAnsi"/>
        </w:rPr>
        <w:t xml:space="preserve"> </w:t>
      </w:r>
      <w:r w:rsidR="00A3559B" w:rsidRPr="00483CF5">
        <w:rPr>
          <w:rFonts w:cstheme="minorHAnsi"/>
        </w:rPr>
        <w:t>Zebrania Przedstawicieli</w:t>
      </w:r>
      <w:r w:rsidRPr="00483CF5">
        <w:rPr>
          <w:rFonts w:eastAsia="Times New Roman" w:cstheme="minorHAnsi"/>
          <w:bCs/>
          <w:color w:val="101010"/>
          <w:lang w:eastAsia="pl-PL"/>
        </w:rPr>
        <w:t>.</w:t>
      </w:r>
    </w:p>
    <w:p w14:paraId="442C02F3" w14:textId="77777777" w:rsidR="00096121" w:rsidRPr="00483CF5" w:rsidRDefault="00096121" w:rsidP="00D40593">
      <w:pPr>
        <w:pStyle w:val="Akapitzlist"/>
        <w:spacing w:before="120" w:after="120" w:line="240" w:lineRule="auto"/>
        <w:ind w:left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</w:p>
    <w:p w14:paraId="2A743649" w14:textId="40691919" w:rsidR="00077F2E" w:rsidRPr="00483CF5" w:rsidRDefault="00077F2E" w:rsidP="00946F10">
      <w:pPr>
        <w:pStyle w:val="Nagwek2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bookmarkStart w:id="12" w:name="_Toc101957812"/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 xml:space="preserve">Oddział </w:t>
      </w:r>
      <w:r w:rsidR="002D7402"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2</w:t>
      </w:r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. Wynagrodzenie zasadnicze</w:t>
      </w:r>
      <w:bookmarkEnd w:id="12"/>
      <w:r w:rsidR="00A3559B"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 xml:space="preserve"> </w:t>
      </w:r>
    </w:p>
    <w:p w14:paraId="4753637D" w14:textId="77777777" w:rsidR="00077F2E" w:rsidRPr="00483CF5" w:rsidRDefault="00077F2E" w:rsidP="00077F2E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 xml:space="preserve">§ </w:t>
      </w:r>
      <w:r w:rsidR="002D7402" w:rsidRPr="00483CF5">
        <w:rPr>
          <w:rFonts w:cstheme="minorHAnsi"/>
          <w:b/>
          <w:bCs/>
        </w:rPr>
        <w:t>6</w:t>
      </w:r>
      <w:r w:rsidRPr="00483CF5">
        <w:rPr>
          <w:rFonts w:cstheme="minorHAnsi"/>
          <w:b/>
          <w:bCs/>
        </w:rPr>
        <w:t>.</w:t>
      </w:r>
    </w:p>
    <w:p w14:paraId="651C8B7F" w14:textId="77777777" w:rsidR="00771D05" w:rsidRPr="00483CF5" w:rsidRDefault="00771D05" w:rsidP="00B24163">
      <w:pPr>
        <w:pStyle w:val="Akapitzlist"/>
        <w:numPr>
          <w:ilvl w:val="0"/>
          <w:numId w:val="18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Podstawę wynagradzania w </w:t>
      </w:r>
      <w:r w:rsidR="006E4DEC" w:rsidRPr="00483CF5">
        <w:rPr>
          <w:rFonts w:eastAsia="Times New Roman" w:cstheme="minorHAnsi"/>
          <w:bCs/>
          <w:color w:val="101010"/>
          <w:lang w:eastAsia="pl-PL"/>
        </w:rPr>
        <w:t>Banku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stanowi miesięczne wynagrodzenie zasadnicze, </w:t>
      </w:r>
      <w:r w:rsidR="00F148D7" w:rsidRPr="00483CF5">
        <w:rPr>
          <w:rFonts w:eastAsia="Times New Roman" w:cstheme="minorHAnsi"/>
          <w:bCs/>
          <w:color w:val="101010"/>
          <w:lang w:eastAsia="pl-PL"/>
        </w:rPr>
        <w:t xml:space="preserve">przyznawane pracownikom zatrudnionym na podstawie umowy o pracę, 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ustalane w taki sposób, aby jego wysokość odzwierciedlała ilość i jakość wykonywanej na danym stanowisku pracy, jak również wpływ stanowiska na wynik </w:t>
      </w:r>
      <w:r w:rsidR="006F2390" w:rsidRPr="00483CF5">
        <w:rPr>
          <w:rFonts w:eastAsia="Times New Roman" w:cstheme="minorHAnsi"/>
          <w:bCs/>
          <w:color w:val="101010"/>
          <w:lang w:eastAsia="pl-PL"/>
        </w:rPr>
        <w:t>Banku</w:t>
      </w:r>
      <w:r w:rsidRPr="00483CF5">
        <w:rPr>
          <w:rFonts w:eastAsia="Times New Roman" w:cstheme="minorHAnsi"/>
          <w:bCs/>
          <w:color w:val="101010"/>
          <w:lang w:eastAsia="pl-PL"/>
        </w:rPr>
        <w:t>.</w:t>
      </w:r>
    </w:p>
    <w:p w14:paraId="13208638" w14:textId="2DB6CE27" w:rsidR="00771D05" w:rsidRPr="00483CF5" w:rsidRDefault="00771D05" w:rsidP="00B24163">
      <w:pPr>
        <w:pStyle w:val="Akapitzlist"/>
        <w:numPr>
          <w:ilvl w:val="0"/>
          <w:numId w:val="18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Wysokość wynagrodzenia zasadniczego na poszczególnych stanowiskach </w:t>
      </w:r>
      <w:r w:rsidR="00D34007" w:rsidRPr="00483CF5">
        <w:rPr>
          <w:rFonts w:eastAsia="Times New Roman" w:cstheme="minorHAnsi"/>
          <w:bCs/>
          <w:color w:val="101010"/>
          <w:lang w:eastAsia="pl-PL"/>
        </w:rPr>
        <w:t xml:space="preserve">określona </w:t>
      </w:r>
      <w:r w:rsidR="006F2390" w:rsidRPr="00483CF5">
        <w:rPr>
          <w:rFonts w:eastAsia="Times New Roman" w:cstheme="minorHAnsi"/>
          <w:bCs/>
          <w:color w:val="101010"/>
          <w:lang w:eastAsia="pl-PL"/>
        </w:rPr>
        <w:t>jest w </w:t>
      </w:r>
      <w:r w:rsidR="00D34007" w:rsidRPr="00483CF5">
        <w:rPr>
          <w:rFonts w:eastAsia="Times New Roman" w:cstheme="minorHAnsi"/>
          <w:bCs/>
          <w:color w:val="101010"/>
          <w:lang w:eastAsia="pl-PL"/>
        </w:rPr>
        <w:t xml:space="preserve">tabeli miesięcznych stawek </w:t>
      </w:r>
      <w:r w:rsidR="00BF46AA" w:rsidRPr="00483CF5">
        <w:rPr>
          <w:rFonts w:eastAsia="Times New Roman" w:cstheme="minorHAnsi"/>
          <w:bCs/>
          <w:color w:val="101010"/>
          <w:lang w:eastAsia="pl-PL"/>
        </w:rPr>
        <w:t>wynagrodzenia zasadniczego stanowiącej załącznik do Regulaminu wynagradzania pracowników w Banku Spółdzielczym w Legionowie</w:t>
      </w:r>
      <w:r w:rsidRPr="00483CF5">
        <w:rPr>
          <w:rFonts w:eastAsia="Times New Roman" w:cstheme="minorHAnsi"/>
          <w:bCs/>
          <w:color w:val="101010"/>
          <w:lang w:eastAsia="pl-PL"/>
        </w:rPr>
        <w:t>.</w:t>
      </w:r>
    </w:p>
    <w:p w14:paraId="1512D6D3" w14:textId="02A31CFB" w:rsidR="00463D9A" w:rsidRDefault="00463D9A" w:rsidP="00B24163">
      <w:pPr>
        <w:pStyle w:val="Akapitzlist"/>
        <w:numPr>
          <w:ilvl w:val="0"/>
          <w:numId w:val="10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Wynagrodzenie </w:t>
      </w:r>
      <w:r w:rsidR="001C5BF9" w:rsidRPr="00483CF5">
        <w:rPr>
          <w:rFonts w:eastAsia="Times New Roman" w:cstheme="minorHAnsi"/>
          <w:bCs/>
          <w:color w:val="101010"/>
          <w:lang w:eastAsia="pl-PL"/>
        </w:rPr>
        <w:t xml:space="preserve">zasadnicze 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członków Zarządu ustala Rada Nadzorcza w umowie o pracę. </w:t>
      </w:r>
    </w:p>
    <w:p w14:paraId="27615AB3" w14:textId="77777777" w:rsidR="009B333E" w:rsidRDefault="009B333E" w:rsidP="00740452">
      <w:pPr>
        <w:pStyle w:val="Nagwek2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</w:p>
    <w:p w14:paraId="0EC82543" w14:textId="582F3DC4" w:rsidR="00740452" w:rsidRPr="00483CF5" w:rsidRDefault="00740452" w:rsidP="00740452">
      <w:pPr>
        <w:pStyle w:val="Nagwek2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bookmarkStart w:id="13" w:name="_Toc101957813"/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 xml:space="preserve">Oddział </w:t>
      </w:r>
      <w:r w:rsidR="002D7402"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3</w:t>
      </w:r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. Świadczenia wynikające z przepisów prawa pracy</w:t>
      </w:r>
      <w:bookmarkEnd w:id="13"/>
    </w:p>
    <w:p w14:paraId="2F4A2F31" w14:textId="77777777" w:rsidR="00740452" w:rsidRPr="00483CF5" w:rsidRDefault="00740452" w:rsidP="008C2693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 xml:space="preserve">§ </w:t>
      </w:r>
      <w:r w:rsidR="002D7402" w:rsidRPr="00483CF5">
        <w:rPr>
          <w:rFonts w:cstheme="minorHAnsi"/>
          <w:b/>
          <w:bCs/>
        </w:rPr>
        <w:t>7</w:t>
      </w:r>
      <w:r w:rsidRPr="00483CF5">
        <w:rPr>
          <w:rFonts w:cstheme="minorHAnsi"/>
          <w:b/>
          <w:bCs/>
        </w:rPr>
        <w:t>.</w:t>
      </w:r>
    </w:p>
    <w:p w14:paraId="6035C19C" w14:textId="0493FD71" w:rsidR="00096121" w:rsidRDefault="00740452" w:rsidP="00740452">
      <w:pPr>
        <w:spacing w:before="120" w:after="120" w:line="240" w:lineRule="auto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Pracownikom </w:t>
      </w:r>
      <w:r w:rsidR="00B03EEE" w:rsidRPr="00483CF5">
        <w:rPr>
          <w:rFonts w:eastAsia="Times New Roman" w:cstheme="minorHAnsi"/>
          <w:bCs/>
          <w:color w:val="101010"/>
          <w:lang w:eastAsia="pl-PL"/>
        </w:rPr>
        <w:t>zatrudnionym na podstawie umowy o pracę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przysługują świadczenia wynikające </w:t>
      </w:r>
      <w:r w:rsidR="00096121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>z przepisów prawa pracy na poziomie określonym w przepisach. Zastosowanie świadczeń korzystniejszych niż określone w przepisach powszechnych możliwe jest jedynie w wyjątkowych sytuacjach, poprzez wpro</w:t>
      </w:r>
      <w:r w:rsidR="008F2580" w:rsidRPr="00483CF5">
        <w:rPr>
          <w:rFonts w:eastAsia="Times New Roman" w:cstheme="minorHAnsi"/>
          <w:bCs/>
          <w:color w:val="101010"/>
          <w:lang w:eastAsia="pl-PL"/>
        </w:rPr>
        <w:t>wadzenie odpowiednich zapisów w </w:t>
      </w:r>
      <w:r w:rsidRPr="00483CF5">
        <w:rPr>
          <w:rFonts w:eastAsia="Times New Roman" w:cstheme="minorHAnsi"/>
          <w:bCs/>
          <w:color w:val="101010"/>
          <w:lang w:eastAsia="pl-PL"/>
        </w:rPr>
        <w:t>regulacjach określających zasady wynagradzania</w:t>
      </w:r>
      <w:r w:rsidR="008C2693" w:rsidRPr="00483CF5">
        <w:rPr>
          <w:rFonts w:eastAsia="Times New Roman" w:cstheme="minorHAnsi"/>
          <w:bCs/>
          <w:color w:val="101010"/>
          <w:lang w:eastAsia="pl-PL"/>
        </w:rPr>
        <w:t xml:space="preserve"> w Banku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  <w:r w:rsidR="008F2580" w:rsidRPr="00483CF5">
        <w:rPr>
          <w:rFonts w:eastAsia="Times New Roman" w:cstheme="minorHAnsi"/>
          <w:bCs/>
          <w:color w:val="101010"/>
          <w:lang w:eastAsia="pl-PL"/>
        </w:rPr>
        <w:t>lub umowach zawartych z </w:t>
      </w:r>
      <w:r w:rsidR="005D1F3C" w:rsidRPr="00483CF5">
        <w:rPr>
          <w:rFonts w:eastAsia="Times New Roman" w:cstheme="minorHAnsi"/>
          <w:bCs/>
          <w:color w:val="101010"/>
          <w:lang w:eastAsia="pl-PL"/>
        </w:rPr>
        <w:t>pracownikami</w:t>
      </w:r>
      <w:r w:rsidRPr="00483CF5">
        <w:rPr>
          <w:rFonts w:eastAsia="Times New Roman" w:cstheme="minorHAnsi"/>
          <w:bCs/>
          <w:color w:val="101010"/>
          <w:lang w:eastAsia="pl-PL"/>
        </w:rPr>
        <w:t>.</w:t>
      </w:r>
    </w:p>
    <w:p w14:paraId="3C6E86E2" w14:textId="3F644973" w:rsidR="0061231D" w:rsidRDefault="0061231D" w:rsidP="00740452">
      <w:pPr>
        <w:spacing w:before="120" w:after="120" w:line="240" w:lineRule="auto"/>
        <w:jc w:val="both"/>
        <w:rPr>
          <w:rFonts w:eastAsia="Times New Roman" w:cstheme="minorHAnsi"/>
          <w:bCs/>
          <w:color w:val="101010"/>
          <w:lang w:eastAsia="pl-PL"/>
        </w:rPr>
      </w:pPr>
    </w:p>
    <w:p w14:paraId="05628F62" w14:textId="77777777" w:rsidR="00A64D6B" w:rsidRPr="00483CF5" w:rsidRDefault="00A64D6B" w:rsidP="00740452">
      <w:pPr>
        <w:spacing w:before="120" w:after="120" w:line="240" w:lineRule="auto"/>
        <w:jc w:val="both"/>
        <w:rPr>
          <w:rFonts w:eastAsia="Times New Roman" w:cstheme="minorHAnsi"/>
          <w:bCs/>
          <w:color w:val="101010"/>
          <w:lang w:eastAsia="pl-PL"/>
        </w:rPr>
      </w:pPr>
    </w:p>
    <w:p w14:paraId="65F2AD6C" w14:textId="77777777" w:rsidR="00077F2E" w:rsidRPr="00483CF5" w:rsidRDefault="00077F2E" w:rsidP="00946F10">
      <w:pPr>
        <w:pStyle w:val="Nagwek2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bookmarkStart w:id="14" w:name="_Toc101957814"/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lastRenderedPageBreak/>
        <w:t xml:space="preserve">Oddział </w:t>
      </w:r>
      <w:r w:rsidR="002D7402"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4</w:t>
      </w:r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. Świadczenia pozapłacowe</w:t>
      </w:r>
      <w:bookmarkEnd w:id="14"/>
    </w:p>
    <w:p w14:paraId="29F3FEB3" w14:textId="77777777" w:rsidR="00077F2E" w:rsidRPr="00483CF5" w:rsidRDefault="00077F2E" w:rsidP="00077F2E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 xml:space="preserve">§ </w:t>
      </w:r>
      <w:r w:rsidR="002D7402" w:rsidRPr="00483CF5">
        <w:rPr>
          <w:rFonts w:cstheme="minorHAnsi"/>
          <w:b/>
          <w:bCs/>
        </w:rPr>
        <w:t>8</w:t>
      </w:r>
      <w:r w:rsidRPr="00483CF5">
        <w:rPr>
          <w:rFonts w:cstheme="minorHAnsi"/>
          <w:b/>
          <w:bCs/>
        </w:rPr>
        <w:t>.</w:t>
      </w:r>
    </w:p>
    <w:p w14:paraId="107ED32D" w14:textId="77777777" w:rsidR="00077F2E" w:rsidRPr="00483CF5" w:rsidRDefault="00077F2E" w:rsidP="00B24163">
      <w:pPr>
        <w:pStyle w:val="Akapitzlist"/>
        <w:numPr>
          <w:ilvl w:val="0"/>
          <w:numId w:val="12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System wynagrodzeń w Banku uzupełniać mogą motywatory pozapłacowe materialne i niematerialne, wspierające możliwość rozwoju pracowników oraz realizacji ich ambicji zawodowych.</w:t>
      </w:r>
    </w:p>
    <w:p w14:paraId="56182B6D" w14:textId="438F9D32" w:rsidR="00EF4A02" w:rsidRPr="00483CF5" w:rsidRDefault="00EF4A02" w:rsidP="00B24163">
      <w:pPr>
        <w:pStyle w:val="Akapitzlist"/>
        <w:numPr>
          <w:ilvl w:val="0"/>
          <w:numId w:val="12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Świadczenia pozapłacowe oferowane w Banku, w szczególności Pracowniczy Program Emerytalny, nie są oparte na wynikach i w sposób jednolity przyznawane są danej kategorii pracowników</w:t>
      </w:r>
      <w:r w:rsidR="00A947DC" w:rsidRPr="00483CF5">
        <w:rPr>
          <w:rFonts w:eastAsia="Times New Roman" w:cstheme="minorHAnsi"/>
          <w:bCs/>
          <w:color w:val="101010"/>
          <w:lang w:eastAsia="pl-PL"/>
        </w:rPr>
        <w:t>.</w:t>
      </w:r>
      <w:r w:rsidR="00A3559B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</w:p>
    <w:p w14:paraId="7846E450" w14:textId="77777777" w:rsidR="00B03EEE" w:rsidRPr="00483CF5" w:rsidRDefault="00CE13B7" w:rsidP="00B24163">
      <w:pPr>
        <w:pStyle w:val="Akapitzlist"/>
        <w:numPr>
          <w:ilvl w:val="0"/>
          <w:numId w:val="12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W wyjątkowych przypadkach pracownikom</w:t>
      </w:r>
      <w:r w:rsidR="00B03EEE" w:rsidRPr="00483CF5">
        <w:rPr>
          <w:rFonts w:eastAsia="Times New Roman" w:cstheme="minorHAnsi"/>
          <w:bCs/>
          <w:color w:val="101010"/>
          <w:lang w:eastAsia="pl-PL"/>
        </w:rPr>
        <w:t>, o których mowa w § 5 ust. 1 pkt 3, mo</w:t>
      </w:r>
      <w:r w:rsidRPr="00483CF5">
        <w:rPr>
          <w:rFonts w:eastAsia="Times New Roman" w:cstheme="minorHAnsi"/>
          <w:bCs/>
          <w:color w:val="101010"/>
          <w:lang w:eastAsia="pl-PL"/>
        </w:rPr>
        <w:t>gą być przyznane świadczenia pozapłacowe, o ile przewidziano je w treści</w:t>
      </w:r>
      <w:r w:rsidR="00B03EEE" w:rsidRPr="00483CF5">
        <w:rPr>
          <w:rFonts w:eastAsia="Times New Roman" w:cstheme="minorHAnsi"/>
          <w:bCs/>
          <w:color w:val="101010"/>
          <w:lang w:eastAsia="pl-PL"/>
        </w:rPr>
        <w:t xml:space="preserve"> umow</w:t>
      </w:r>
      <w:r w:rsidRPr="00483CF5">
        <w:rPr>
          <w:rFonts w:eastAsia="Times New Roman" w:cstheme="minorHAnsi"/>
          <w:bCs/>
          <w:color w:val="101010"/>
          <w:lang w:eastAsia="pl-PL"/>
        </w:rPr>
        <w:t>y.</w:t>
      </w:r>
    </w:p>
    <w:p w14:paraId="52B1CA98" w14:textId="0175FE4D" w:rsidR="00771D05" w:rsidRDefault="00077F2E" w:rsidP="00946F10">
      <w:pPr>
        <w:pStyle w:val="Nagwek1"/>
        <w:rPr>
          <w:rFonts w:asciiTheme="minorHAnsi" w:hAnsiTheme="minorHAnsi" w:cstheme="minorHAnsi"/>
          <w:sz w:val="22"/>
          <w:szCs w:val="22"/>
        </w:rPr>
      </w:pPr>
      <w:bookmarkStart w:id="15" w:name="_Toc531951334"/>
      <w:bookmarkStart w:id="16" w:name="_Toc531952460"/>
      <w:bookmarkStart w:id="17" w:name="_Toc531952525"/>
      <w:bookmarkStart w:id="18" w:name="_Toc531951335"/>
      <w:bookmarkStart w:id="19" w:name="_Toc531952461"/>
      <w:bookmarkStart w:id="20" w:name="_Toc531952526"/>
      <w:bookmarkStart w:id="21" w:name="_Toc531951336"/>
      <w:bookmarkStart w:id="22" w:name="_Toc531952462"/>
      <w:bookmarkStart w:id="23" w:name="_Toc531952527"/>
      <w:bookmarkStart w:id="24" w:name="_Toc101957815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483CF5">
        <w:rPr>
          <w:rFonts w:asciiTheme="minorHAnsi" w:hAnsiTheme="minorHAnsi" w:cstheme="minorHAnsi"/>
          <w:sz w:val="22"/>
          <w:szCs w:val="22"/>
        </w:rPr>
        <w:t>Wynagrodzenie zmienne</w:t>
      </w:r>
      <w:bookmarkEnd w:id="24"/>
    </w:p>
    <w:p w14:paraId="26A9932F" w14:textId="77777777" w:rsidR="0061231D" w:rsidRPr="00D40593" w:rsidRDefault="0061231D" w:rsidP="00D40593"/>
    <w:p w14:paraId="09B61B0A" w14:textId="77777777" w:rsidR="004F0F0B" w:rsidRPr="00483CF5" w:rsidRDefault="004F0F0B" w:rsidP="004F0F0B">
      <w:pPr>
        <w:pStyle w:val="Nagwek2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bookmarkStart w:id="25" w:name="_Toc101957816"/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Oddział 1. Składniki wynagrodzeń zmiennych</w:t>
      </w:r>
      <w:bookmarkEnd w:id="25"/>
    </w:p>
    <w:p w14:paraId="2A37FEBD" w14:textId="77777777" w:rsidR="004F0F0B" w:rsidRPr="00483CF5" w:rsidRDefault="004F0F0B" w:rsidP="004F0F0B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>§ 9.</w:t>
      </w:r>
    </w:p>
    <w:p w14:paraId="413463AA" w14:textId="0844E6DE" w:rsidR="004F0F0B" w:rsidRPr="00483CF5" w:rsidRDefault="004F0F0B" w:rsidP="00B24163">
      <w:pPr>
        <w:pStyle w:val="Akapitzlist"/>
        <w:numPr>
          <w:ilvl w:val="0"/>
          <w:numId w:val="19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bookmarkStart w:id="26" w:name="_Hlk60904297"/>
      <w:r w:rsidRPr="00483CF5">
        <w:rPr>
          <w:rFonts w:eastAsia="Times New Roman" w:cstheme="minorHAnsi"/>
          <w:bCs/>
          <w:color w:val="101010"/>
          <w:lang w:eastAsia="pl-PL"/>
        </w:rPr>
        <w:t>Na wynagrodzenia zmienne składają się w szczególności</w:t>
      </w:r>
      <w:r w:rsidR="0042087D" w:rsidRPr="00483CF5">
        <w:rPr>
          <w:rFonts w:eastAsia="Times New Roman" w:cstheme="minorHAnsi"/>
          <w:bCs/>
          <w:color w:val="101010"/>
          <w:lang w:eastAsia="pl-PL"/>
        </w:rPr>
        <w:t>: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premie uznaniowe, nagrody specjalne, </w:t>
      </w:r>
      <w:r w:rsidR="00D62783" w:rsidRPr="00483CF5">
        <w:rPr>
          <w:rFonts w:eastAsia="Times New Roman" w:cstheme="minorHAnsi"/>
          <w:bCs/>
          <w:color w:val="101010"/>
          <w:lang w:eastAsia="pl-PL"/>
        </w:rPr>
        <w:t>odprawy emerytalne i rentowe</w:t>
      </w:r>
      <w:bookmarkEnd w:id="26"/>
      <w:r w:rsidRPr="00483CF5">
        <w:rPr>
          <w:rFonts w:eastAsia="Times New Roman" w:cstheme="minorHAnsi"/>
          <w:bCs/>
          <w:color w:val="101010"/>
          <w:lang w:eastAsia="pl-PL"/>
        </w:rPr>
        <w:t>.</w:t>
      </w:r>
    </w:p>
    <w:p w14:paraId="11E043C8" w14:textId="6368B245" w:rsidR="004F0F0B" w:rsidRDefault="004F0F0B" w:rsidP="00B24163">
      <w:pPr>
        <w:pStyle w:val="Akapitzlist"/>
        <w:numPr>
          <w:ilvl w:val="0"/>
          <w:numId w:val="19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Przyznanie pracownikom zmiennych składników wynagrodzeń</w:t>
      </w:r>
      <w:r w:rsidR="0061231D">
        <w:rPr>
          <w:rFonts w:eastAsia="Times New Roman" w:cstheme="minorHAnsi"/>
          <w:bCs/>
          <w:color w:val="101010"/>
          <w:lang w:eastAsia="pl-PL"/>
        </w:rPr>
        <w:t>,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innych niż wymienionych w ust. 1, możliwe jest jedynie w wyjątkowych sytuacjach, poprzez wprowadzenie odpowiednich zapisów </w:t>
      </w:r>
      <w:r w:rsidR="0061231D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>w regulacjach określających zasady wynagradzania pracowników zatrudnionych na podstawie umowy o pracę, zlecenia lub innej umowy o podobnym charakterze.</w:t>
      </w:r>
    </w:p>
    <w:p w14:paraId="428BEA57" w14:textId="77777777" w:rsidR="00A64D6B" w:rsidRPr="00483CF5" w:rsidRDefault="00A64D6B" w:rsidP="00D40593">
      <w:pPr>
        <w:pStyle w:val="Akapitzlist"/>
        <w:spacing w:before="120" w:after="120" w:line="240" w:lineRule="auto"/>
        <w:ind w:left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</w:p>
    <w:p w14:paraId="63950D05" w14:textId="1EC77A2E" w:rsidR="00077F2E" w:rsidRPr="00483CF5" w:rsidRDefault="00077F2E" w:rsidP="00946F10">
      <w:pPr>
        <w:pStyle w:val="Nagwek2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bookmarkStart w:id="27" w:name="_Toc101957817"/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 xml:space="preserve">Oddział </w:t>
      </w:r>
      <w:r w:rsidR="004F0F0B"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2</w:t>
      </w:r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. Prem</w:t>
      </w:r>
      <w:r w:rsidR="00B60E0F"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 xml:space="preserve">ie </w:t>
      </w:r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uznaniow</w:t>
      </w:r>
      <w:r w:rsidR="00B60E0F"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e</w:t>
      </w:r>
      <w:bookmarkEnd w:id="27"/>
    </w:p>
    <w:p w14:paraId="68216FF3" w14:textId="77777777" w:rsidR="00077F2E" w:rsidRPr="00483CF5" w:rsidRDefault="00077F2E" w:rsidP="00077F2E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 xml:space="preserve">§ </w:t>
      </w:r>
      <w:r w:rsidR="004F0F0B" w:rsidRPr="00483CF5">
        <w:rPr>
          <w:rFonts w:cstheme="minorHAnsi"/>
          <w:b/>
          <w:bCs/>
        </w:rPr>
        <w:t>10</w:t>
      </w:r>
      <w:r w:rsidRPr="00483CF5">
        <w:rPr>
          <w:rFonts w:cstheme="minorHAnsi"/>
          <w:b/>
          <w:bCs/>
        </w:rPr>
        <w:t>.</w:t>
      </w:r>
    </w:p>
    <w:p w14:paraId="65D0B622" w14:textId="73336C16" w:rsidR="00771D05" w:rsidRPr="00483CF5" w:rsidRDefault="00350828" w:rsidP="00B24163">
      <w:pPr>
        <w:pStyle w:val="Akapitzlist"/>
        <w:numPr>
          <w:ilvl w:val="0"/>
          <w:numId w:val="11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S</w:t>
      </w:r>
      <w:r w:rsidR="002422D8" w:rsidRPr="00483CF5">
        <w:rPr>
          <w:rFonts w:eastAsia="Times New Roman" w:cstheme="minorHAnsi"/>
          <w:bCs/>
          <w:color w:val="101010"/>
          <w:lang w:eastAsia="pl-PL"/>
        </w:rPr>
        <w:t>ystem</w:t>
      </w:r>
      <w:r w:rsidR="00771D05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  <w:r w:rsidRPr="00483CF5">
        <w:rPr>
          <w:rFonts w:eastAsia="Times New Roman" w:cstheme="minorHAnsi"/>
          <w:bCs/>
          <w:color w:val="101010"/>
          <w:lang w:eastAsia="pl-PL"/>
        </w:rPr>
        <w:t>premiowania</w:t>
      </w:r>
      <w:r w:rsidR="00771D05" w:rsidRPr="00483CF5">
        <w:rPr>
          <w:rFonts w:eastAsia="Times New Roman" w:cstheme="minorHAnsi"/>
          <w:bCs/>
          <w:color w:val="101010"/>
          <w:lang w:eastAsia="pl-PL"/>
        </w:rPr>
        <w:t xml:space="preserve"> pracowników w </w:t>
      </w:r>
      <w:r w:rsidRPr="00483CF5">
        <w:rPr>
          <w:rFonts w:eastAsia="Times New Roman" w:cstheme="minorHAnsi"/>
          <w:bCs/>
          <w:color w:val="101010"/>
          <w:lang w:eastAsia="pl-PL"/>
        </w:rPr>
        <w:t>Banku</w:t>
      </w:r>
      <w:r w:rsidR="00771D05" w:rsidRPr="00483CF5">
        <w:rPr>
          <w:rFonts w:eastAsia="Times New Roman" w:cstheme="minorHAnsi"/>
          <w:bCs/>
          <w:color w:val="101010"/>
          <w:lang w:eastAsia="pl-PL"/>
        </w:rPr>
        <w:t xml:space="preserve"> ma na celu koncentrację działań pracowników </w:t>
      </w:r>
      <w:r w:rsidR="0061231D">
        <w:rPr>
          <w:rFonts w:eastAsia="Times New Roman" w:cstheme="minorHAnsi"/>
          <w:bCs/>
          <w:color w:val="101010"/>
          <w:lang w:eastAsia="pl-PL"/>
        </w:rPr>
        <w:br/>
      </w:r>
      <w:r w:rsidR="00771D05" w:rsidRPr="00483CF5">
        <w:rPr>
          <w:rFonts w:eastAsia="Times New Roman" w:cstheme="minorHAnsi"/>
          <w:bCs/>
          <w:color w:val="101010"/>
          <w:lang w:eastAsia="pl-PL"/>
        </w:rPr>
        <w:t xml:space="preserve">na </w:t>
      </w:r>
      <w:r w:rsidR="00BF00F1">
        <w:rPr>
          <w:rFonts w:eastAsia="Times New Roman" w:cstheme="minorHAnsi"/>
          <w:bCs/>
          <w:color w:val="101010"/>
          <w:lang w:eastAsia="pl-PL"/>
        </w:rPr>
        <w:t xml:space="preserve">zadaniach </w:t>
      </w:r>
      <w:r w:rsidR="00771D05" w:rsidRPr="00483CF5">
        <w:rPr>
          <w:rFonts w:eastAsia="Times New Roman" w:cstheme="minorHAnsi"/>
          <w:bCs/>
          <w:color w:val="101010"/>
          <w:lang w:eastAsia="pl-PL"/>
        </w:rPr>
        <w:t xml:space="preserve">ważnych dla </w:t>
      </w:r>
      <w:r w:rsidRPr="00483CF5">
        <w:rPr>
          <w:rFonts w:eastAsia="Times New Roman" w:cstheme="minorHAnsi"/>
          <w:bCs/>
          <w:color w:val="101010"/>
          <w:lang w:eastAsia="pl-PL"/>
        </w:rPr>
        <w:t>Banku</w:t>
      </w:r>
      <w:r w:rsidR="00771D05" w:rsidRPr="00483CF5">
        <w:rPr>
          <w:rFonts w:eastAsia="Times New Roman" w:cstheme="minorHAnsi"/>
          <w:bCs/>
          <w:color w:val="101010"/>
          <w:lang w:eastAsia="pl-PL"/>
        </w:rPr>
        <w:t xml:space="preserve">, wspierających pożądane z punktu widzenia </w:t>
      </w:r>
      <w:r w:rsidRPr="00483CF5">
        <w:rPr>
          <w:rFonts w:eastAsia="Times New Roman" w:cstheme="minorHAnsi"/>
          <w:bCs/>
          <w:color w:val="101010"/>
          <w:lang w:eastAsia="pl-PL"/>
        </w:rPr>
        <w:t>Banku</w:t>
      </w:r>
      <w:r w:rsidR="00771D05" w:rsidRPr="00483CF5">
        <w:rPr>
          <w:rFonts w:eastAsia="Times New Roman" w:cstheme="minorHAnsi"/>
          <w:bCs/>
          <w:color w:val="101010"/>
          <w:lang w:eastAsia="pl-PL"/>
        </w:rPr>
        <w:t xml:space="preserve"> zachowania.</w:t>
      </w:r>
    </w:p>
    <w:p w14:paraId="12E83608" w14:textId="63A67E39" w:rsidR="00771D05" w:rsidRPr="00483CF5" w:rsidRDefault="00771D05" w:rsidP="00B24163">
      <w:pPr>
        <w:pStyle w:val="Akapitzlist"/>
        <w:numPr>
          <w:ilvl w:val="0"/>
          <w:numId w:val="11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Poziom ustalonych wynagrodzeń </w:t>
      </w:r>
      <w:r w:rsidR="00E924B6" w:rsidRPr="00483CF5">
        <w:rPr>
          <w:rFonts w:eastAsia="Times New Roman" w:cstheme="minorHAnsi"/>
          <w:bCs/>
          <w:color w:val="101010"/>
          <w:lang w:eastAsia="pl-PL"/>
        </w:rPr>
        <w:t xml:space="preserve">z tytułu premii uznaniowej 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skorelowany jest z wynikami </w:t>
      </w:r>
      <w:r w:rsidR="00E924B6" w:rsidRPr="00483CF5">
        <w:rPr>
          <w:rFonts w:eastAsia="Times New Roman" w:cstheme="minorHAnsi"/>
          <w:bCs/>
          <w:color w:val="101010"/>
          <w:lang w:eastAsia="pl-PL"/>
        </w:rPr>
        <w:t>Banku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  <w:r w:rsidR="0061231D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>i uwzględnia postawę oraz wkład pracy poszczególnych osób i zespołów w osiągnięcie założonych na dany okres celów.</w:t>
      </w:r>
    </w:p>
    <w:p w14:paraId="716D9829" w14:textId="77777777" w:rsidR="00552EBD" w:rsidRPr="00483CF5" w:rsidRDefault="00077F2E" w:rsidP="00946F10">
      <w:pPr>
        <w:pStyle w:val="Nagwek2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bookmarkStart w:id="28" w:name="_Toc101957818"/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 xml:space="preserve">Oddział </w:t>
      </w:r>
      <w:r w:rsidR="004F0F0B"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3</w:t>
      </w:r>
      <w:r w:rsidR="00552EBD"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. Nagrody specjalne</w:t>
      </w:r>
      <w:bookmarkEnd w:id="28"/>
    </w:p>
    <w:p w14:paraId="14735322" w14:textId="77777777" w:rsidR="00077F2E" w:rsidRPr="00483CF5" w:rsidRDefault="00077F2E" w:rsidP="00077F2E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 xml:space="preserve">§ </w:t>
      </w:r>
      <w:r w:rsidR="00464260" w:rsidRPr="00483CF5">
        <w:rPr>
          <w:rFonts w:cstheme="minorHAnsi"/>
          <w:b/>
          <w:bCs/>
        </w:rPr>
        <w:t>1</w:t>
      </w:r>
      <w:r w:rsidR="004F0F0B" w:rsidRPr="00483CF5">
        <w:rPr>
          <w:rFonts w:cstheme="minorHAnsi"/>
          <w:b/>
          <w:bCs/>
        </w:rPr>
        <w:t>1</w:t>
      </w:r>
      <w:r w:rsidRPr="00483CF5">
        <w:rPr>
          <w:rFonts w:cstheme="minorHAnsi"/>
          <w:b/>
          <w:bCs/>
        </w:rPr>
        <w:t>.</w:t>
      </w:r>
    </w:p>
    <w:p w14:paraId="3B9957C0" w14:textId="0F48F25E" w:rsidR="0061231D" w:rsidRDefault="00771D05" w:rsidP="00552EBD">
      <w:pPr>
        <w:spacing w:before="120" w:after="120" w:line="240" w:lineRule="auto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Nagrody specjalne mają charakter wyjątkowy i przyznawane są za szczególne osiągnięcia </w:t>
      </w:r>
      <w:r w:rsidR="00342627" w:rsidRPr="00483CF5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>w pracy</w:t>
      </w:r>
      <w:r w:rsidR="00D22281" w:rsidRPr="00483CF5">
        <w:rPr>
          <w:rFonts w:eastAsia="Times New Roman" w:cstheme="minorHAnsi"/>
          <w:bCs/>
          <w:color w:val="101010"/>
          <w:lang w:eastAsia="pl-PL"/>
        </w:rPr>
        <w:t>,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wykraczające poza zakres obowiązków pracownika. Przyznawane pracownikom nagrody specjalne mają charakter uznaniowy, a ich wypłata uzależniona jest od sytuacji ekonomicznej </w:t>
      </w:r>
      <w:r w:rsidR="00E924B6" w:rsidRPr="00483CF5">
        <w:rPr>
          <w:rFonts w:eastAsia="Times New Roman" w:cstheme="minorHAnsi"/>
          <w:bCs/>
          <w:color w:val="101010"/>
          <w:lang w:eastAsia="pl-PL"/>
        </w:rPr>
        <w:t>Banku</w:t>
      </w:r>
      <w:r w:rsidRPr="00483CF5">
        <w:rPr>
          <w:rFonts w:eastAsia="Times New Roman" w:cstheme="minorHAnsi"/>
          <w:bCs/>
          <w:color w:val="101010"/>
          <w:lang w:eastAsia="pl-PL"/>
        </w:rPr>
        <w:t>.</w:t>
      </w:r>
    </w:p>
    <w:p w14:paraId="383BD6C9" w14:textId="77777777" w:rsidR="00D62783" w:rsidRPr="00483CF5" w:rsidRDefault="00D62783" w:rsidP="00D62783">
      <w:pPr>
        <w:pStyle w:val="Nagwek2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bookmarkStart w:id="29" w:name="_Toc101957819"/>
      <w:r w:rsidRPr="00483CF5">
        <w:rPr>
          <w:rFonts w:asciiTheme="minorHAnsi" w:eastAsia="Times New Roman" w:hAnsiTheme="minorHAnsi" w:cstheme="minorHAnsi"/>
          <w:sz w:val="22"/>
          <w:szCs w:val="22"/>
          <w:lang w:eastAsia="zh-CN"/>
        </w:rPr>
        <w:t>Oddział 4. Odprawa rentowa lub emerytalna</w:t>
      </w:r>
      <w:bookmarkEnd w:id="29"/>
    </w:p>
    <w:p w14:paraId="6AABBDE6" w14:textId="77777777" w:rsidR="00D62783" w:rsidRPr="00483CF5" w:rsidRDefault="00D62783" w:rsidP="00D62783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>§ 12.</w:t>
      </w:r>
    </w:p>
    <w:p w14:paraId="59A11B70" w14:textId="45CA80D9" w:rsidR="00D62783" w:rsidRPr="00483CF5" w:rsidRDefault="00D62783" w:rsidP="00B24163">
      <w:pPr>
        <w:pStyle w:val="Akapitzlist"/>
        <w:numPr>
          <w:ilvl w:val="0"/>
          <w:numId w:val="20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Pracownikowi spełniającemu warunki uprawniające do renty z tytułu niezdolności do pracy </w:t>
      </w:r>
      <w:r w:rsidR="0061231D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lub emerytury, którego stosunek pracy ustał w związku z przejściem na rentę lub emeryturę przysługuje odprawa pieniężna, której wysokość </w:t>
      </w:r>
      <w:r w:rsidR="00BE775C" w:rsidRPr="00483CF5">
        <w:rPr>
          <w:rFonts w:eastAsia="Times New Roman" w:cstheme="minorHAnsi"/>
          <w:bCs/>
          <w:color w:val="101010"/>
          <w:lang w:eastAsia="pl-PL"/>
        </w:rPr>
        <w:t>określa Regulamin</w:t>
      </w:r>
      <w:r w:rsidR="00880656" w:rsidRPr="00483CF5">
        <w:rPr>
          <w:rFonts w:eastAsia="Times New Roman" w:cstheme="minorHAnsi"/>
          <w:bCs/>
          <w:color w:val="101010"/>
          <w:lang w:eastAsia="pl-PL"/>
        </w:rPr>
        <w:t xml:space="preserve"> wynagradzania pracowników w Banku Spółdzielczym w Legionowie.</w:t>
      </w:r>
      <w:r w:rsidR="003531D1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</w:p>
    <w:p w14:paraId="14A66D55" w14:textId="6E025667" w:rsidR="00D62783" w:rsidRPr="00483CF5" w:rsidRDefault="00D62783" w:rsidP="00B24163">
      <w:pPr>
        <w:pStyle w:val="Akapitzlist"/>
        <w:numPr>
          <w:ilvl w:val="0"/>
          <w:numId w:val="20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lastRenderedPageBreak/>
        <w:t>Pracownik, który otrzymał odprawę emerytalną lub rentową</w:t>
      </w:r>
      <w:r w:rsidR="00765440" w:rsidRPr="00483CF5">
        <w:rPr>
          <w:rFonts w:eastAsia="Times New Roman" w:cstheme="minorHAnsi"/>
          <w:bCs/>
          <w:color w:val="101010"/>
          <w:lang w:eastAsia="pl-PL"/>
        </w:rPr>
        <w:t>,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nie może ponownie nabyć do niej prawa.</w:t>
      </w:r>
    </w:p>
    <w:p w14:paraId="0BC52EC3" w14:textId="7CF76561" w:rsidR="00880656" w:rsidRPr="00483CF5" w:rsidRDefault="00107424" w:rsidP="00B24163">
      <w:pPr>
        <w:pStyle w:val="Akapitzlist"/>
        <w:numPr>
          <w:ilvl w:val="0"/>
          <w:numId w:val="20"/>
        </w:numPr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Bank nie prowadzi polityki dotyczącej uznaniowych (zmiennych) świadczeń emerytalnych pracowników, których działalność zawodowa ma istotny wpływ na profil ryzyka Banku. </w:t>
      </w:r>
      <w:r w:rsidR="0061231D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Za uznaniowe świadczenie emerytalne nie uznaje się </w:t>
      </w:r>
      <w:r w:rsidR="00B04AF3" w:rsidRPr="00483CF5">
        <w:rPr>
          <w:rFonts w:eastAsia="Times New Roman" w:cstheme="minorHAnsi"/>
          <w:bCs/>
          <w:color w:val="101010"/>
          <w:lang w:eastAsia="pl-PL"/>
        </w:rPr>
        <w:t>P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racowniczego </w:t>
      </w:r>
      <w:r w:rsidR="00B04AF3" w:rsidRPr="00483CF5">
        <w:rPr>
          <w:rFonts w:eastAsia="Times New Roman" w:cstheme="minorHAnsi"/>
          <w:bCs/>
          <w:color w:val="101010"/>
          <w:lang w:eastAsia="pl-PL"/>
        </w:rPr>
        <w:t>P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rogramu </w:t>
      </w:r>
      <w:r w:rsidR="00B04AF3" w:rsidRPr="00483CF5">
        <w:rPr>
          <w:rFonts w:eastAsia="Times New Roman" w:cstheme="minorHAnsi"/>
          <w:bCs/>
          <w:color w:val="101010"/>
          <w:lang w:eastAsia="pl-PL"/>
        </w:rPr>
        <w:t>E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merytalnego </w:t>
      </w:r>
      <w:r w:rsidR="0061231D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oraz odpraw rentowych i emerytalnych przysługujących wszystkim pracownikom Banku spełniającym warunki uprawniające do renty z tytułu niezdolności do pracy lub emerytury, których stosunek pracy ustał w związku z przejściem na rentę lub emeryturę, przyznanych na podstawie </w:t>
      </w:r>
      <w:r w:rsidR="00880656" w:rsidRPr="00483CF5">
        <w:rPr>
          <w:rFonts w:eastAsia="Times New Roman" w:cstheme="minorHAnsi"/>
          <w:bCs/>
          <w:color w:val="101010"/>
          <w:lang w:eastAsia="pl-PL"/>
        </w:rPr>
        <w:t xml:space="preserve">Regulaminu wynagradzania pracowników w Banku Spółdzielczym w Legionowie. </w:t>
      </w:r>
    </w:p>
    <w:p w14:paraId="06411C57" w14:textId="6A8D0026" w:rsidR="003A1CE9" w:rsidRDefault="003A1CE9" w:rsidP="00946F10">
      <w:pPr>
        <w:pStyle w:val="Nagwek1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bookmarkStart w:id="30" w:name="_Toc531951344"/>
      <w:bookmarkStart w:id="31" w:name="_Toc531952470"/>
      <w:bookmarkStart w:id="32" w:name="_Toc531952535"/>
      <w:bookmarkStart w:id="33" w:name="_Toc531951345"/>
      <w:bookmarkStart w:id="34" w:name="_Toc531952471"/>
      <w:bookmarkStart w:id="35" w:name="_Toc531952536"/>
      <w:bookmarkStart w:id="36" w:name="_Toc101957820"/>
      <w:bookmarkEnd w:id="30"/>
      <w:bookmarkEnd w:id="31"/>
      <w:bookmarkEnd w:id="32"/>
      <w:bookmarkEnd w:id="33"/>
      <w:bookmarkEnd w:id="34"/>
      <w:bookmarkEnd w:id="35"/>
      <w:r w:rsidRPr="00483CF5">
        <w:rPr>
          <w:rFonts w:asciiTheme="minorHAnsi" w:eastAsia="Times New Roman" w:hAnsiTheme="minorHAnsi" w:cstheme="minorHAnsi"/>
          <w:sz w:val="22"/>
          <w:szCs w:val="22"/>
          <w:lang w:eastAsia="pl-PL"/>
        </w:rPr>
        <w:t>Korekta</w:t>
      </w:r>
      <w:r w:rsidR="00870BDB" w:rsidRPr="00483CF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wynagrodzenia</w:t>
      </w:r>
      <w:r w:rsidRPr="00483CF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44672A" w:rsidRPr="00483CF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zmiennego </w:t>
      </w:r>
      <w:r w:rsidRPr="00483CF5">
        <w:rPr>
          <w:rFonts w:asciiTheme="minorHAnsi" w:eastAsia="Times New Roman" w:hAnsiTheme="minorHAnsi" w:cstheme="minorHAnsi"/>
          <w:sz w:val="22"/>
          <w:szCs w:val="22"/>
          <w:lang w:eastAsia="pl-PL"/>
        </w:rPr>
        <w:t>o ryzyko</w:t>
      </w:r>
      <w:bookmarkEnd w:id="36"/>
    </w:p>
    <w:p w14:paraId="3E4B9DC7" w14:textId="77777777" w:rsidR="0061231D" w:rsidRPr="00D40593" w:rsidRDefault="0061231D" w:rsidP="00D40593">
      <w:pPr>
        <w:rPr>
          <w:lang w:eastAsia="pl-PL"/>
        </w:rPr>
      </w:pPr>
    </w:p>
    <w:p w14:paraId="0AE8FB98" w14:textId="116B351D" w:rsidR="005F1CBB" w:rsidRPr="00483CF5" w:rsidRDefault="005F1CBB" w:rsidP="005F1CBB">
      <w:pPr>
        <w:pStyle w:val="Nagwek2"/>
        <w:rPr>
          <w:rFonts w:asciiTheme="minorHAnsi" w:hAnsiTheme="minorHAnsi" w:cstheme="minorHAnsi"/>
          <w:sz w:val="22"/>
          <w:szCs w:val="22"/>
        </w:rPr>
      </w:pPr>
      <w:bookmarkStart w:id="37" w:name="_Toc101957821"/>
      <w:r w:rsidRPr="00483CF5">
        <w:rPr>
          <w:rFonts w:asciiTheme="minorHAnsi" w:hAnsiTheme="minorHAnsi" w:cstheme="minorHAnsi"/>
          <w:sz w:val="22"/>
          <w:szCs w:val="22"/>
        </w:rPr>
        <w:t xml:space="preserve">Oddział 1. </w:t>
      </w:r>
      <w:r w:rsidR="00090653" w:rsidRPr="00483CF5">
        <w:rPr>
          <w:rFonts w:asciiTheme="minorHAnsi" w:hAnsiTheme="minorHAnsi" w:cstheme="minorHAnsi"/>
          <w:sz w:val="22"/>
          <w:szCs w:val="22"/>
        </w:rPr>
        <w:t>Budżet na</w:t>
      </w:r>
      <w:r w:rsidRPr="00483CF5">
        <w:rPr>
          <w:rFonts w:asciiTheme="minorHAnsi" w:hAnsiTheme="minorHAnsi" w:cstheme="minorHAnsi"/>
          <w:sz w:val="22"/>
          <w:szCs w:val="22"/>
        </w:rPr>
        <w:t xml:space="preserve"> </w:t>
      </w:r>
      <w:r w:rsidR="00090653" w:rsidRPr="00483CF5">
        <w:rPr>
          <w:rFonts w:asciiTheme="minorHAnsi" w:hAnsiTheme="minorHAnsi" w:cstheme="minorHAnsi"/>
          <w:sz w:val="22"/>
          <w:szCs w:val="22"/>
        </w:rPr>
        <w:t>wynagrodzenia zmienne</w:t>
      </w:r>
      <w:bookmarkEnd w:id="37"/>
    </w:p>
    <w:p w14:paraId="27089C5C" w14:textId="6A1018E0" w:rsidR="001028E6" w:rsidRPr="00483CF5" w:rsidRDefault="001028E6" w:rsidP="001028E6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 xml:space="preserve">§ </w:t>
      </w:r>
      <w:r w:rsidR="006A0FF7" w:rsidRPr="00483CF5">
        <w:rPr>
          <w:rFonts w:cstheme="minorHAnsi"/>
          <w:b/>
          <w:bCs/>
        </w:rPr>
        <w:t>1</w:t>
      </w:r>
      <w:r w:rsidR="00331279" w:rsidRPr="00483CF5">
        <w:rPr>
          <w:rFonts w:cstheme="minorHAnsi"/>
          <w:b/>
          <w:bCs/>
        </w:rPr>
        <w:t>3</w:t>
      </w:r>
      <w:r w:rsidRPr="00483CF5">
        <w:rPr>
          <w:rFonts w:cstheme="minorHAnsi"/>
          <w:b/>
          <w:bCs/>
        </w:rPr>
        <w:t>.</w:t>
      </w:r>
    </w:p>
    <w:p w14:paraId="614F591A" w14:textId="77777777" w:rsidR="00EC1078" w:rsidRPr="00483CF5" w:rsidRDefault="00DA019D" w:rsidP="00B2416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360"/>
        <w:contextualSpacing w:val="0"/>
        <w:jc w:val="both"/>
        <w:rPr>
          <w:rFonts w:cstheme="minorHAnsi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>Bank corocznie określa</w:t>
      </w:r>
      <w:r w:rsidR="002A78B1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w planie finansowym </w:t>
      </w:r>
      <w:r w:rsidR="00C73D51" w:rsidRPr="00483CF5">
        <w:rPr>
          <w:rFonts w:eastAsia="Times New Roman" w:cstheme="minorHAnsi"/>
          <w:bCs/>
          <w:color w:val="101010"/>
          <w:lang w:eastAsia="pl-PL"/>
        </w:rPr>
        <w:t xml:space="preserve">łączny </w:t>
      </w:r>
      <w:r w:rsidR="00090653" w:rsidRPr="00483CF5">
        <w:rPr>
          <w:rFonts w:eastAsia="Times New Roman" w:cstheme="minorHAnsi"/>
          <w:bCs/>
          <w:color w:val="101010"/>
          <w:lang w:eastAsia="pl-PL"/>
        </w:rPr>
        <w:t xml:space="preserve">budżet 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na </w:t>
      </w:r>
      <w:r w:rsidR="00C73D51" w:rsidRPr="00483CF5">
        <w:rPr>
          <w:rFonts w:eastAsia="Times New Roman" w:cstheme="minorHAnsi"/>
          <w:bCs/>
          <w:color w:val="101010"/>
          <w:lang w:eastAsia="pl-PL"/>
        </w:rPr>
        <w:t xml:space="preserve">wszystkie </w:t>
      </w:r>
      <w:r w:rsidRPr="00483CF5">
        <w:rPr>
          <w:rFonts w:eastAsia="Times New Roman" w:cstheme="minorHAnsi"/>
          <w:bCs/>
          <w:color w:val="101010"/>
          <w:lang w:eastAsia="pl-PL"/>
        </w:rPr>
        <w:t>wynagrodzenia zmienne na dany rok kalendarzowy</w:t>
      </w:r>
      <w:r w:rsidR="002523D6" w:rsidRPr="00483CF5">
        <w:rPr>
          <w:rFonts w:eastAsia="Times New Roman" w:cstheme="minorHAnsi"/>
          <w:bCs/>
          <w:color w:val="101010"/>
          <w:lang w:eastAsia="pl-PL"/>
        </w:rPr>
        <w:t xml:space="preserve">, z zastrzeżeniem ust. </w:t>
      </w:r>
      <w:r w:rsidR="00765440" w:rsidRPr="00483CF5">
        <w:rPr>
          <w:rFonts w:eastAsia="Times New Roman" w:cstheme="minorHAnsi"/>
          <w:bCs/>
          <w:color w:val="101010"/>
          <w:lang w:eastAsia="pl-PL"/>
        </w:rPr>
        <w:t>3</w:t>
      </w:r>
      <w:r w:rsidRPr="00483CF5">
        <w:rPr>
          <w:rFonts w:eastAsia="Times New Roman" w:cstheme="minorHAnsi"/>
          <w:bCs/>
          <w:color w:val="101010"/>
          <w:lang w:eastAsia="pl-PL"/>
        </w:rPr>
        <w:t>.</w:t>
      </w:r>
      <w:r w:rsidR="002A78B1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</w:p>
    <w:p w14:paraId="3257A2B4" w14:textId="75F0AB50" w:rsidR="00C00496" w:rsidRDefault="00DA019D" w:rsidP="00B2416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360"/>
        <w:contextualSpacing w:val="0"/>
        <w:jc w:val="both"/>
        <w:rPr>
          <w:rFonts w:cstheme="minorHAnsi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Ustanawiając </w:t>
      </w:r>
      <w:r w:rsidR="00090653" w:rsidRPr="00483CF5">
        <w:rPr>
          <w:rFonts w:eastAsia="Times New Roman" w:cstheme="minorHAnsi"/>
          <w:bCs/>
          <w:color w:val="101010"/>
          <w:lang w:eastAsia="pl-PL"/>
        </w:rPr>
        <w:t xml:space="preserve">budżet </w:t>
      </w:r>
      <w:r w:rsidRPr="00483CF5">
        <w:rPr>
          <w:rFonts w:eastAsia="Times New Roman" w:cstheme="minorHAnsi"/>
          <w:bCs/>
          <w:color w:val="101010"/>
          <w:lang w:eastAsia="pl-PL"/>
        </w:rPr>
        <w:t>na wynagrodzenia zmienne</w:t>
      </w:r>
      <w:r w:rsidR="00C73D51" w:rsidRPr="00483CF5">
        <w:rPr>
          <w:rFonts w:eastAsia="Times New Roman" w:cstheme="minorHAnsi"/>
          <w:bCs/>
          <w:color w:val="101010"/>
          <w:lang w:eastAsia="pl-PL"/>
        </w:rPr>
        <w:t xml:space="preserve">, o którym mowa w ust. </w:t>
      </w:r>
      <w:r w:rsidR="00765440" w:rsidRPr="00483CF5">
        <w:rPr>
          <w:rFonts w:eastAsia="Times New Roman" w:cstheme="minorHAnsi"/>
          <w:bCs/>
          <w:color w:val="101010"/>
          <w:lang w:eastAsia="pl-PL"/>
        </w:rPr>
        <w:t>1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, Bank </w:t>
      </w:r>
      <w:r w:rsidR="00B77D6B" w:rsidRPr="00483CF5">
        <w:rPr>
          <w:rFonts w:eastAsia="Times New Roman" w:cstheme="minorHAnsi"/>
          <w:bCs/>
          <w:color w:val="101010"/>
          <w:lang w:eastAsia="pl-PL"/>
        </w:rPr>
        <w:t>bierze pod uwagę wyniki biznesowe</w:t>
      </w:r>
      <w:r w:rsidR="007D3360" w:rsidRPr="00483CF5">
        <w:rPr>
          <w:rFonts w:eastAsia="Times New Roman" w:cstheme="minorHAnsi"/>
          <w:bCs/>
          <w:color w:val="101010"/>
          <w:lang w:eastAsia="pl-PL"/>
        </w:rPr>
        <w:t>, w szczególno</w:t>
      </w:r>
      <w:r w:rsidR="002B2C15" w:rsidRPr="00483CF5">
        <w:rPr>
          <w:rFonts w:eastAsia="Times New Roman" w:cstheme="minorHAnsi"/>
          <w:bCs/>
          <w:color w:val="101010"/>
          <w:lang w:eastAsia="pl-PL"/>
        </w:rPr>
        <w:t>ś</w:t>
      </w:r>
      <w:r w:rsidR="007D3360" w:rsidRPr="00483CF5">
        <w:rPr>
          <w:rFonts w:eastAsia="Times New Roman" w:cstheme="minorHAnsi"/>
          <w:bCs/>
          <w:color w:val="101010"/>
          <w:lang w:eastAsia="pl-PL"/>
        </w:rPr>
        <w:t>ci</w:t>
      </w:r>
      <w:r w:rsidR="00CA4F9D" w:rsidRPr="00483CF5">
        <w:rPr>
          <w:rFonts w:eastAsia="Times New Roman" w:cstheme="minorHAnsi"/>
          <w:bCs/>
          <w:color w:val="101010"/>
          <w:lang w:eastAsia="pl-PL"/>
        </w:rPr>
        <w:t>:</w:t>
      </w:r>
      <w:r w:rsidR="00B77D6B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  <w:r w:rsidR="00C00496" w:rsidRPr="00483CF5">
        <w:rPr>
          <w:rFonts w:cstheme="minorHAnsi"/>
        </w:rPr>
        <w:t>zysk netto, zwrot z kapitału własnego (ROE netto), jakość portfela kredytowego, łączny współczynnik kapitałowy, wskaźnik płynności LCR.</w:t>
      </w:r>
    </w:p>
    <w:p w14:paraId="15684883" w14:textId="442AC92F" w:rsidR="0061231D" w:rsidRPr="00D40593" w:rsidRDefault="002523D6" w:rsidP="00D4059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360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D40593">
        <w:rPr>
          <w:rFonts w:eastAsia="Times New Roman" w:cstheme="minorHAnsi"/>
          <w:bCs/>
          <w:color w:val="101010"/>
          <w:lang w:eastAsia="pl-PL"/>
        </w:rPr>
        <w:t xml:space="preserve">Zarząd </w:t>
      </w:r>
      <w:r w:rsidR="00D22A7C" w:rsidRPr="00D40593">
        <w:rPr>
          <w:rFonts w:eastAsia="Times New Roman" w:cstheme="minorHAnsi"/>
          <w:bCs/>
          <w:color w:val="101010"/>
          <w:lang w:eastAsia="pl-PL"/>
        </w:rPr>
        <w:t xml:space="preserve">może podjąć decyzję o </w:t>
      </w:r>
      <w:r w:rsidRPr="00D40593">
        <w:rPr>
          <w:rFonts w:eastAsia="Times New Roman" w:cstheme="minorHAnsi"/>
          <w:bCs/>
          <w:color w:val="101010"/>
          <w:lang w:eastAsia="pl-PL"/>
        </w:rPr>
        <w:t>z</w:t>
      </w:r>
      <w:r w:rsidR="00D22A7C" w:rsidRPr="00D40593">
        <w:rPr>
          <w:rFonts w:eastAsia="Times New Roman" w:cstheme="minorHAnsi"/>
          <w:bCs/>
          <w:color w:val="101010"/>
          <w:lang w:eastAsia="pl-PL"/>
        </w:rPr>
        <w:t xml:space="preserve">mniejszeniu </w:t>
      </w:r>
      <w:r w:rsidR="00CA4F9D" w:rsidRPr="00D40593">
        <w:rPr>
          <w:rFonts w:eastAsia="Times New Roman" w:cstheme="minorHAnsi"/>
          <w:bCs/>
          <w:color w:val="101010"/>
          <w:lang w:eastAsia="pl-PL"/>
        </w:rPr>
        <w:t xml:space="preserve">lub zwiększeniu </w:t>
      </w:r>
      <w:r w:rsidR="00090653" w:rsidRPr="00D40593">
        <w:rPr>
          <w:rFonts w:eastAsia="Times New Roman" w:cstheme="minorHAnsi"/>
          <w:bCs/>
          <w:color w:val="101010"/>
          <w:lang w:eastAsia="pl-PL"/>
        </w:rPr>
        <w:t xml:space="preserve">budżetu </w:t>
      </w:r>
      <w:r w:rsidR="00D22A7C" w:rsidRPr="00D40593">
        <w:rPr>
          <w:rFonts w:eastAsia="Times New Roman" w:cstheme="minorHAnsi"/>
          <w:bCs/>
          <w:color w:val="101010"/>
          <w:lang w:eastAsia="pl-PL"/>
        </w:rPr>
        <w:t>na wynagrodzenia</w:t>
      </w:r>
      <w:r w:rsidRPr="00D40593">
        <w:rPr>
          <w:rFonts w:eastAsia="Times New Roman" w:cstheme="minorHAnsi"/>
          <w:bCs/>
          <w:color w:val="101010"/>
          <w:lang w:eastAsia="pl-PL"/>
        </w:rPr>
        <w:t xml:space="preserve"> zmienne w trakcie roku</w:t>
      </w:r>
      <w:r w:rsidR="00D22A7C" w:rsidRPr="00D40593">
        <w:rPr>
          <w:rFonts w:eastAsia="Times New Roman" w:cstheme="minorHAnsi"/>
          <w:bCs/>
          <w:color w:val="101010"/>
          <w:lang w:eastAsia="pl-PL"/>
        </w:rPr>
        <w:t xml:space="preserve"> kalendarzowego</w:t>
      </w:r>
      <w:r w:rsidR="00CA4F9D" w:rsidRPr="00D40593">
        <w:rPr>
          <w:rFonts w:eastAsia="Times New Roman" w:cstheme="minorHAnsi"/>
          <w:bCs/>
          <w:color w:val="101010"/>
          <w:lang w:eastAsia="pl-PL"/>
        </w:rPr>
        <w:t xml:space="preserve"> z uwzględnieniem wyników biznesowych</w:t>
      </w:r>
      <w:r w:rsidR="001256AD" w:rsidRPr="00D40593">
        <w:rPr>
          <w:rFonts w:eastAsia="Times New Roman" w:cstheme="minorHAnsi"/>
          <w:bCs/>
          <w:color w:val="101010"/>
          <w:lang w:eastAsia="pl-PL"/>
        </w:rPr>
        <w:t xml:space="preserve"> oraz </w:t>
      </w:r>
      <w:r w:rsidR="00AB6F61" w:rsidRPr="00D40593">
        <w:rPr>
          <w:rFonts w:eastAsia="Times New Roman" w:cstheme="minorHAnsi"/>
          <w:bCs/>
          <w:color w:val="101010"/>
          <w:lang w:eastAsia="pl-PL"/>
        </w:rPr>
        <w:t xml:space="preserve">wskaźników </w:t>
      </w:r>
      <w:r w:rsidR="00BC4021" w:rsidRPr="00D40593">
        <w:rPr>
          <w:rFonts w:eastAsia="Times New Roman" w:cstheme="minorHAnsi"/>
          <w:bCs/>
          <w:color w:val="101010"/>
          <w:lang w:eastAsia="pl-PL"/>
        </w:rPr>
        <w:t>adekwatności kapitałowej</w:t>
      </w:r>
      <w:r w:rsidR="00465428" w:rsidRPr="00D40593">
        <w:rPr>
          <w:rFonts w:eastAsia="Times New Roman" w:cstheme="minorHAnsi"/>
          <w:bCs/>
          <w:color w:val="101010"/>
          <w:lang w:eastAsia="pl-PL"/>
        </w:rPr>
        <w:t xml:space="preserve"> oraz zapisów ust. </w:t>
      </w:r>
      <w:r w:rsidR="00B04AF3" w:rsidRPr="00D40593">
        <w:rPr>
          <w:rFonts w:eastAsia="Times New Roman" w:cstheme="minorHAnsi"/>
          <w:bCs/>
          <w:color w:val="101010"/>
          <w:lang w:eastAsia="pl-PL"/>
        </w:rPr>
        <w:t>2</w:t>
      </w:r>
      <w:r w:rsidRPr="00D40593">
        <w:rPr>
          <w:rFonts w:eastAsia="Times New Roman" w:cstheme="minorHAnsi"/>
          <w:bCs/>
          <w:color w:val="101010"/>
          <w:lang w:eastAsia="pl-PL"/>
        </w:rPr>
        <w:t>.</w:t>
      </w:r>
    </w:p>
    <w:p w14:paraId="1C060603" w14:textId="0E8CF7D6" w:rsidR="0059166B" w:rsidRPr="00483CF5" w:rsidRDefault="006C35A3" w:rsidP="00064E02">
      <w:pPr>
        <w:pStyle w:val="Nagwek1"/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38" w:name="_Toc101957822"/>
      <w:r w:rsidRPr="00483CF5">
        <w:rPr>
          <w:rFonts w:asciiTheme="minorHAnsi" w:hAnsiTheme="minorHAnsi" w:cstheme="minorHAnsi"/>
          <w:sz w:val="22"/>
          <w:szCs w:val="22"/>
        </w:rPr>
        <w:t>Szczególne zasady wynagradzania</w:t>
      </w:r>
      <w:r w:rsidR="00092064" w:rsidRPr="00483CF5">
        <w:rPr>
          <w:rFonts w:asciiTheme="minorHAnsi" w:hAnsiTheme="minorHAnsi" w:cstheme="minorHAnsi"/>
          <w:sz w:val="22"/>
          <w:szCs w:val="22"/>
        </w:rPr>
        <w:t xml:space="preserve"> pracowników</w:t>
      </w:r>
      <w:r w:rsidR="00281C25" w:rsidRPr="00483CF5">
        <w:rPr>
          <w:rFonts w:asciiTheme="minorHAnsi" w:hAnsiTheme="minorHAnsi" w:cstheme="minorHAnsi"/>
          <w:sz w:val="22"/>
          <w:szCs w:val="22"/>
        </w:rPr>
        <w:t xml:space="preserve">, których działalność zawodowa </w:t>
      </w:r>
      <w:r w:rsidR="0061231D">
        <w:rPr>
          <w:rFonts w:asciiTheme="minorHAnsi" w:hAnsiTheme="minorHAnsi" w:cstheme="minorHAnsi"/>
          <w:sz w:val="22"/>
          <w:szCs w:val="22"/>
        </w:rPr>
        <w:br/>
      </w:r>
      <w:r w:rsidR="00281C25" w:rsidRPr="00483CF5">
        <w:rPr>
          <w:rFonts w:asciiTheme="minorHAnsi" w:hAnsiTheme="minorHAnsi" w:cstheme="minorHAnsi"/>
          <w:sz w:val="22"/>
          <w:szCs w:val="22"/>
        </w:rPr>
        <w:t>ma istotny wpływ na profil ryzyka Banku</w:t>
      </w:r>
      <w:bookmarkEnd w:id="38"/>
    </w:p>
    <w:p w14:paraId="061B81A6" w14:textId="26C225B9" w:rsidR="00AC73E3" w:rsidRPr="00483CF5" w:rsidRDefault="00AC73E3" w:rsidP="00AC73E3">
      <w:pPr>
        <w:pStyle w:val="Nagwek1"/>
        <w:numPr>
          <w:ilvl w:val="0"/>
          <w:numId w:val="0"/>
        </w:numPr>
        <w:spacing w:before="120" w:after="120" w:line="240" w:lineRule="auto"/>
        <w:rPr>
          <w:rFonts w:asciiTheme="minorHAnsi" w:hAnsiTheme="minorHAnsi" w:cstheme="minorHAnsi"/>
          <w:b w:val="0"/>
          <w:i/>
          <w:color w:val="FF33CC"/>
          <w:sz w:val="22"/>
          <w:szCs w:val="22"/>
        </w:rPr>
      </w:pPr>
    </w:p>
    <w:p w14:paraId="51767C2C" w14:textId="71A16A75" w:rsidR="00B70F29" w:rsidRPr="00483CF5" w:rsidRDefault="00B70F29" w:rsidP="00A4774D">
      <w:pPr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</w:rPr>
        <w:t xml:space="preserve">§ </w:t>
      </w:r>
      <w:r w:rsidR="004C0D15" w:rsidRPr="00483CF5">
        <w:rPr>
          <w:rFonts w:cstheme="minorHAnsi"/>
          <w:b/>
        </w:rPr>
        <w:t>1</w:t>
      </w:r>
      <w:r w:rsidR="00331279" w:rsidRPr="00483CF5">
        <w:rPr>
          <w:rFonts w:cstheme="minorHAnsi"/>
          <w:b/>
        </w:rPr>
        <w:t>4</w:t>
      </w:r>
      <w:r w:rsidRPr="00483CF5">
        <w:rPr>
          <w:rFonts w:cstheme="minorHAnsi"/>
          <w:b/>
        </w:rPr>
        <w:t>.</w:t>
      </w:r>
    </w:p>
    <w:p w14:paraId="1437BD34" w14:textId="4F4A22E6" w:rsidR="0010395C" w:rsidRPr="00483CF5" w:rsidRDefault="0010395C" w:rsidP="00D40593">
      <w:pPr>
        <w:pStyle w:val="Style6"/>
        <w:widowControl/>
        <w:numPr>
          <w:ilvl w:val="0"/>
          <w:numId w:val="34"/>
        </w:numPr>
        <w:tabs>
          <w:tab w:val="left" w:pos="426"/>
        </w:tabs>
        <w:spacing w:before="120" w:after="120" w:line="240" w:lineRule="auto"/>
        <w:ind w:left="426" w:hanging="426"/>
        <w:rPr>
          <w:rStyle w:val="FontStyle22"/>
          <w:rFonts w:asciiTheme="minorHAnsi" w:eastAsiaTheme="minorHAnsi" w:hAnsiTheme="minorHAnsi" w:cstheme="minorHAnsi"/>
          <w:lang w:eastAsia="en-US"/>
        </w:rPr>
      </w:pPr>
      <w:r w:rsidRPr="00483CF5">
        <w:rPr>
          <w:rStyle w:val="FontStyle22"/>
          <w:rFonts w:asciiTheme="minorHAnsi" w:hAnsiTheme="minorHAnsi" w:cstheme="minorHAnsi"/>
        </w:rPr>
        <w:t>Polityka wynagradzania w stosunku do pracowników, których działalność zawodowa ma</w:t>
      </w:r>
      <w:r w:rsidRPr="00483CF5">
        <w:rPr>
          <w:rStyle w:val="FontStyle22"/>
          <w:rFonts w:asciiTheme="minorHAnsi" w:hAnsiTheme="minorHAnsi" w:cstheme="minorHAnsi"/>
        </w:rPr>
        <w:br/>
        <w:t>istotny wpływ na profil ryzyka Banku prowadzona jest zgodnie z zasadą proporcjonalności,</w:t>
      </w:r>
      <w:r w:rsidRPr="00483CF5">
        <w:rPr>
          <w:rStyle w:val="FontStyle22"/>
          <w:rFonts w:asciiTheme="minorHAnsi" w:hAnsiTheme="minorHAnsi" w:cstheme="minorHAnsi"/>
        </w:rPr>
        <w:br/>
        <w:t>w szczególności uwzględnia przepisy zawarte:</w:t>
      </w:r>
    </w:p>
    <w:p w14:paraId="39623E98" w14:textId="743023E9" w:rsidR="0010395C" w:rsidRPr="003F1EC1" w:rsidRDefault="009405EF" w:rsidP="00B24163">
      <w:pPr>
        <w:pStyle w:val="Style6"/>
        <w:widowControl/>
        <w:numPr>
          <w:ilvl w:val="0"/>
          <w:numId w:val="26"/>
        </w:numPr>
        <w:tabs>
          <w:tab w:val="left" w:pos="720"/>
        </w:tabs>
        <w:spacing w:before="120" w:after="120" w:line="240" w:lineRule="auto"/>
        <w:ind w:left="720" w:hanging="350"/>
        <w:rPr>
          <w:rStyle w:val="FontStyle22"/>
          <w:rFonts w:asciiTheme="minorHAnsi" w:hAnsiTheme="minorHAnsi" w:cstheme="minorHAnsi"/>
        </w:rPr>
      </w:pPr>
      <w:r>
        <w:rPr>
          <w:rStyle w:val="FontStyle22"/>
          <w:rFonts w:asciiTheme="minorHAnsi" w:hAnsiTheme="minorHAnsi" w:cstheme="minorHAnsi"/>
        </w:rPr>
        <w:t xml:space="preserve">w </w:t>
      </w:r>
      <w:r w:rsidR="0010395C" w:rsidRPr="00483CF5">
        <w:rPr>
          <w:rStyle w:val="FontStyle22"/>
          <w:rFonts w:asciiTheme="minorHAnsi" w:hAnsiTheme="minorHAnsi" w:cstheme="minorHAnsi"/>
        </w:rPr>
        <w:t xml:space="preserve">art. 9ca ust. 1 b </w:t>
      </w:r>
      <w:r w:rsidR="00F66878">
        <w:rPr>
          <w:rStyle w:val="FontStyle22"/>
          <w:rFonts w:asciiTheme="minorHAnsi" w:hAnsiTheme="minorHAnsi" w:cstheme="minorHAnsi"/>
        </w:rPr>
        <w:t>u</w:t>
      </w:r>
      <w:r w:rsidR="0010395C" w:rsidRPr="00483CF5">
        <w:rPr>
          <w:rStyle w:val="FontStyle22"/>
          <w:rFonts w:asciiTheme="minorHAnsi" w:hAnsiTheme="minorHAnsi" w:cstheme="minorHAnsi"/>
        </w:rPr>
        <w:t xml:space="preserve">stawy Prawo </w:t>
      </w:r>
      <w:r w:rsidR="00F66878">
        <w:rPr>
          <w:rStyle w:val="FontStyle22"/>
          <w:rFonts w:asciiTheme="minorHAnsi" w:hAnsiTheme="minorHAnsi" w:cstheme="minorHAnsi"/>
        </w:rPr>
        <w:t>b</w:t>
      </w:r>
      <w:r w:rsidR="0010395C" w:rsidRPr="00483CF5">
        <w:rPr>
          <w:rStyle w:val="FontStyle22"/>
          <w:rFonts w:asciiTheme="minorHAnsi" w:hAnsiTheme="minorHAnsi" w:cstheme="minorHAnsi"/>
        </w:rPr>
        <w:t>ankowe</w:t>
      </w:r>
      <w:r w:rsidR="006346C4">
        <w:rPr>
          <w:rStyle w:val="FontStyle22"/>
          <w:rFonts w:asciiTheme="minorHAnsi" w:hAnsiTheme="minorHAnsi" w:cstheme="minorHAnsi"/>
        </w:rPr>
        <w:t xml:space="preserve">, </w:t>
      </w:r>
      <w:r w:rsidR="0010395C" w:rsidRPr="00483CF5">
        <w:rPr>
          <w:rStyle w:val="FontStyle22"/>
          <w:rFonts w:asciiTheme="minorHAnsi" w:hAnsiTheme="minorHAnsi" w:cstheme="minorHAnsi"/>
        </w:rPr>
        <w:t>tzn. Bank</w:t>
      </w:r>
      <w:r w:rsidR="006346C4">
        <w:rPr>
          <w:rStyle w:val="FontStyle22"/>
          <w:rFonts w:asciiTheme="minorHAnsi" w:hAnsiTheme="minorHAnsi" w:cstheme="minorHAnsi"/>
        </w:rPr>
        <w:t xml:space="preserve"> </w:t>
      </w:r>
      <w:r w:rsidR="0010395C" w:rsidRPr="00483CF5">
        <w:rPr>
          <w:rStyle w:val="FontStyle22"/>
          <w:rFonts w:asciiTheme="minorHAnsi" w:hAnsiTheme="minorHAnsi" w:cstheme="minorHAnsi"/>
        </w:rPr>
        <w:t xml:space="preserve">nie jest dużą </w:t>
      </w:r>
      <w:r w:rsidR="0010395C" w:rsidRPr="003F1EC1">
        <w:rPr>
          <w:rStyle w:val="FontStyle22"/>
          <w:rFonts w:asciiTheme="minorHAnsi" w:hAnsiTheme="minorHAnsi" w:cstheme="minorHAnsi"/>
        </w:rPr>
        <w:t>instytucją,</w:t>
      </w:r>
      <w:r w:rsidR="003B2A10" w:rsidRPr="003F1EC1">
        <w:rPr>
          <w:rStyle w:val="FontStyle22"/>
          <w:rFonts w:asciiTheme="minorHAnsi" w:hAnsiTheme="minorHAnsi" w:cstheme="minorHAnsi"/>
        </w:rPr>
        <w:t xml:space="preserve"> o której mowa </w:t>
      </w:r>
      <w:r w:rsidR="003B2A10" w:rsidRPr="003F1EC1">
        <w:rPr>
          <w:rStyle w:val="FontStyle22"/>
          <w:rFonts w:asciiTheme="minorHAnsi" w:hAnsiTheme="minorHAnsi" w:cstheme="minorHAnsi"/>
        </w:rPr>
        <w:br/>
        <w:t>w art. 4 ust. 1 pkt 146 Rozporz</w:t>
      </w:r>
      <w:r w:rsidR="003B2A10" w:rsidRPr="003F1EC1">
        <w:rPr>
          <w:rStyle w:val="FontStyle22"/>
          <w:rFonts w:asciiTheme="minorHAnsi" w:hAnsiTheme="minorHAnsi" w:cstheme="minorHAnsi" w:hint="eastAsia"/>
        </w:rPr>
        <w:t>ą</w:t>
      </w:r>
      <w:r w:rsidR="003B2A10" w:rsidRPr="003F1EC1">
        <w:rPr>
          <w:rStyle w:val="FontStyle22"/>
          <w:rFonts w:asciiTheme="minorHAnsi" w:hAnsiTheme="minorHAnsi" w:cstheme="minorHAnsi"/>
        </w:rPr>
        <w:t>dzenia nr 575/2013,</w:t>
      </w:r>
      <w:r w:rsidR="0010395C" w:rsidRPr="003F1EC1">
        <w:rPr>
          <w:rStyle w:val="FontStyle22"/>
          <w:rFonts w:asciiTheme="minorHAnsi" w:hAnsiTheme="minorHAnsi" w:cstheme="minorHAnsi"/>
        </w:rPr>
        <w:t xml:space="preserve"> a średnia wartość aktywów, obliczona </w:t>
      </w:r>
      <w:r w:rsidR="00D7215A" w:rsidRPr="003F1EC1">
        <w:rPr>
          <w:rStyle w:val="FontStyle22"/>
          <w:rFonts w:asciiTheme="minorHAnsi" w:hAnsiTheme="minorHAnsi" w:cstheme="minorHAnsi"/>
        </w:rPr>
        <w:br/>
      </w:r>
      <w:r w:rsidR="0010395C" w:rsidRPr="003F1EC1">
        <w:rPr>
          <w:rStyle w:val="FontStyle22"/>
          <w:rFonts w:asciiTheme="minorHAnsi" w:hAnsiTheme="minorHAnsi" w:cstheme="minorHAnsi"/>
        </w:rPr>
        <w:t xml:space="preserve">dla </w:t>
      </w:r>
      <w:r w:rsidR="006346C4" w:rsidRPr="003F1EC1">
        <w:rPr>
          <w:rStyle w:val="FontStyle22"/>
          <w:rFonts w:asciiTheme="minorHAnsi" w:hAnsiTheme="minorHAnsi" w:cstheme="minorHAnsi"/>
        </w:rPr>
        <w:t>4-</w:t>
      </w:r>
      <w:r w:rsidR="0010395C" w:rsidRPr="003F1EC1">
        <w:rPr>
          <w:rStyle w:val="FontStyle22"/>
          <w:rFonts w:asciiTheme="minorHAnsi" w:hAnsiTheme="minorHAnsi" w:cstheme="minorHAnsi"/>
        </w:rPr>
        <w:t xml:space="preserve">letniego okresu bezpośrednio poprzedzającego okres objęty Polityką (bieżący rok obrachunkowy), nie przekracza równowartości w złotych 5 000 000 000 euro </w:t>
      </w:r>
      <w:r w:rsidR="00D7215A" w:rsidRPr="003F1EC1">
        <w:rPr>
          <w:rStyle w:val="FontStyle22"/>
          <w:rFonts w:asciiTheme="minorHAnsi" w:hAnsiTheme="minorHAnsi" w:cstheme="minorHAnsi"/>
        </w:rPr>
        <w:t>–</w:t>
      </w:r>
      <w:r w:rsidR="0010395C" w:rsidRPr="003F1EC1">
        <w:rPr>
          <w:rStyle w:val="FontStyle22"/>
          <w:rFonts w:asciiTheme="minorHAnsi" w:hAnsiTheme="minorHAnsi" w:cstheme="minorHAnsi"/>
        </w:rPr>
        <w:t xml:space="preserve"> w związku </w:t>
      </w:r>
      <w:r w:rsidR="00D7215A" w:rsidRPr="003F1EC1">
        <w:rPr>
          <w:rStyle w:val="FontStyle22"/>
          <w:rFonts w:asciiTheme="minorHAnsi" w:hAnsiTheme="minorHAnsi" w:cstheme="minorHAnsi"/>
        </w:rPr>
        <w:br/>
      </w:r>
      <w:r w:rsidR="0010395C" w:rsidRPr="003F1EC1">
        <w:rPr>
          <w:rStyle w:val="FontStyle22"/>
          <w:rFonts w:asciiTheme="minorHAnsi" w:hAnsiTheme="minorHAnsi" w:cstheme="minorHAnsi"/>
        </w:rPr>
        <w:t xml:space="preserve">z tym stosuje </w:t>
      </w:r>
      <w:r w:rsidR="006346C4" w:rsidRPr="003F1EC1">
        <w:rPr>
          <w:rStyle w:val="FontStyle22"/>
          <w:rFonts w:asciiTheme="minorHAnsi" w:hAnsiTheme="minorHAnsi" w:cstheme="minorHAnsi"/>
        </w:rPr>
        <w:t>P</w:t>
      </w:r>
      <w:r w:rsidR="0010395C" w:rsidRPr="003F1EC1">
        <w:rPr>
          <w:rStyle w:val="FontStyle22"/>
          <w:rFonts w:asciiTheme="minorHAnsi" w:hAnsiTheme="minorHAnsi" w:cstheme="minorHAnsi"/>
        </w:rPr>
        <w:t>olitykę wynagrodzeń w ograniczonym zakresie wobec osób</w:t>
      </w:r>
      <w:r w:rsidRPr="003F1EC1">
        <w:rPr>
          <w:rStyle w:val="FontStyle22"/>
          <w:rFonts w:asciiTheme="minorHAnsi" w:hAnsiTheme="minorHAnsi" w:cstheme="minorHAnsi"/>
        </w:rPr>
        <w:t xml:space="preserve"> </w:t>
      </w:r>
      <w:r w:rsidR="0010395C" w:rsidRPr="003F1EC1">
        <w:rPr>
          <w:rStyle w:val="FontStyle22"/>
          <w:rFonts w:asciiTheme="minorHAnsi" w:hAnsiTheme="minorHAnsi" w:cstheme="minorHAnsi"/>
        </w:rPr>
        <w:t>spełniających kryteria poziomu i struktury wynagrodzenia</w:t>
      </w:r>
      <w:r w:rsidRPr="003F1EC1">
        <w:rPr>
          <w:rStyle w:val="FontStyle22"/>
          <w:rFonts w:asciiTheme="minorHAnsi" w:hAnsiTheme="minorHAnsi" w:cstheme="minorHAnsi"/>
        </w:rPr>
        <w:t>, tzn.</w:t>
      </w:r>
      <w:r w:rsidR="0010395C" w:rsidRPr="003F1EC1">
        <w:rPr>
          <w:rStyle w:val="FontStyle22"/>
          <w:rFonts w:asciiTheme="minorHAnsi" w:hAnsiTheme="minorHAnsi" w:cstheme="minorHAnsi"/>
        </w:rPr>
        <w:t>:</w:t>
      </w:r>
    </w:p>
    <w:p w14:paraId="195C15C9" w14:textId="75DE9B7A" w:rsidR="0010395C" w:rsidRPr="00483CF5" w:rsidRDefault="0010395C" w:rsidP="00B24163">
      <w:pPr>
        <w:pStyle w:val="Style6"/>
        <w:widowControl/>
        <w:numPr>
          <w:ilvl w:val="0"/>
          <w:numId w:val="27"/>
        </w:numPr>
        <w:tabs>
          <w:tab w:val="left" w:pos="1080"/>
        </w:tabs>
        <w:spacing w:before="120" w:after="120" w:line="240" w:lineRule="auto"/>
        <w:ind w:left="1080" w:hanging="355"/>
        <w:rPr>
          <w:rStyle w:val="FontStyle22"/>
          <w:rFonts w:asciiTheme="minorHAnsi" w:hAnsiTheme="minorHAnsi" w:cstheme="minorHAnsi"/>
        </w:rPr>
      </w:pPr>
      <w:r w:rsidRPr="00483CF5">
        <w:rPr>
          <w:rStyle w:val="FontStyle22"/>
          <w:rFonts w:asciiTheme="minorHAnsi" w:hAnsiTheme="minorHAnsi" w:cstheme="minorHAnsi"/>
        </w:rPr>
        <w:t xml:space="preserve">stosowanie </w:t>
      </w:r>
      <w:r w:rsidR="009405EF">
        <w:rPr>
          <w:rStyle w:val="FontStyle22"/>
          <w:rFonts w:asciiTheme="minorHAnsi" w:hAnsiTheme="minorHAnsi" w:cstheme="minorHAnsi"/>
        </w:rPr>
        <w:t>P</w:t>
      </w:r>
      <w:r w:rsidRPr="00483CF5">
        <w:rPr>
          <w:rStyle w:val="FontStyle22"/>
          <w:rFonts w:asciiTheme="minorHAnsi" w:hAnsiTheme="minorHAnsi" w:cstheme="minorHAnsi"/>
        </w:rPr>
        <w:t>olityki wynagrodzeń w ograniczonym zakresie dotyczy zmiennych składników wynagrodzenia oraz uznaniowych świadczeń emerytalnych;</w:t>
      </w:r>
    </w:p>
    <w:p w14:paraId="7CBC8F4A" w14:textId="1FAA6C5D" w:rsidR="0010395C" w:rsidRPr="003F1EC1" w:rsidRDefault="0010395C" w:rsidP="00B24163">
      <w:pPr>
        <w:pStyle w:val="Style6"/>
        <w:widowControl/>
        <w:numPr>
          <w:ilvl w:val="0"/>
          <w:numId w:val="27"/>
        </w:numPr>
        <w:tabs>
          <w:tab w:val="left" w:pos="1080"/>
        </w:tabs>
        <w:spacing w:before="120" w:after="120" w:line="240" w:lineRule="auto"/>
        <w:ind w:left="1080" w:hanging="355"/>
        <w:rPr>
          <w:rStyle w:val="FontStyle22"/>
          <w:rFonts w:asciiTheme="minorHAnsi" w:hAnsiTheme="minorHAnsi" w:cstheme="minorHAnsi"/>
        </w:rPr>
      </w:pPr>
      <w:r w:rsidRPr="003F1EC1">
        <w:rPr>
          <w:rStyle w:val="FontStyle22"/>
          <w:rFonts w:asciiTheme="minorHAnsi" w:hAnsiTheme="minorHAnsi" w:cstheme="minorHAnsi"/>
        </w:rPr>
        <w:t xml:space="preserve">ograniczony zakres stosowania Polityki </w:t>
      </w:r>
      <w:r w:rsidR="009405EF" w:rsidRPr="003F1EC1">
        <w:rPr>
          <w:rStyle w:val="FontStyle22"/>
          <w:rFonts w:asciiTheme="minorHAnsi" w:hAnsiTheme="minorHAnsi" w:cstheme="minorHAnsi"/>
        </w:rPr>
        <w:t xml:space="preserve">oznacza </w:t>
      </w:r>
      <w:r w:rsidRPr="003F1EC1">
        <w:rPr>
          <w:rStyle w:val="FontStyle22"/>
          <w:rFonts w:asciiTheme="minorHAnsi" w:hAnsiTheme="minorHAnsi" w:cstheme="minorHAnsi"/>
        </w:rPr>
        <w:t xml:space="preserve">brak konieczności przyznawania </w:t>
      </w:r>
      <w:r w:rsidR="00D7215A" w:rsidRPr="003F1EC1">
        <w:rPr>
          <w:rStyle w:val="FontStyle22"/>
          <w:rFonts w:asciiTheme="minorHAnsi" w:hAnsiTheme="minorHAnsi" w:cstheme="minorHAnsi"/>
        </w:rPr>
        <w:br/>
      </w:r>
      <w:r w:rsidRPr="003F1EC1">
        <w:rPr>
          <w:rStyle w:val="FontStyle22"/>
          <w:rFonts w:asciiTheme="minorHAnsi" w:hAnsiTheme="minorHAnsi" w:cstheme="minorHAnsi"/>
        </w:rPr>
        <w:t>co najmniej 50</w:t>
      </w:r>
      <w:r w:rsidR="00D7215A" w:rsidRPr="003F1EC1">
        <w:rPr>
          <w:rStyle w:val="FontStyle22"/>
          <w:rFonts w:asciiTheme="minorHAnsi" w:hAnsiTheme="minorHAnsi" w:cstheme="minorHAnsi"/>
        </w:rPr>
        <w:t xml:space="preserve"> </w:t>
      </w:r>
      <w:r w:rsidRPr="003F1EC1">
        <w:rPr>
          <w:rStyle w:val="FontStyle22"/>
          <w:rFonts w:asciiTheme="minorHAnsi" w:hAnsiTheme="minorHAnsi" w:cstheme="minorHAnsi"/>
        </w:rPr>
        <w:t>% zmiennych składników wynagrodzenia w postaci instrumentów finansowych, odroczenia wypłaty co najmniej 40</w:t>
      </w:r>
      <w:r w:rsidR="009405EF" w:rsidRPr="003F1EC1">
        <w:rPr>
          <w:rStyle w:val="FontStyle22"/>
          <w:rFonts w:asciiTheme="minorHAnsi" w:hAnsiTheme="minorHAnsi" w:cstheme="minorHAnsi"/>
        </w:rPr>
        <w:t xml:space="preserve"> </w:t>
      </w:r>
      <w:r w:rsidRPr="003F1EC1">
        <w:rPr>
          <w:rStyle w:val="FontStyle22"/>
          <w:rFonts w:asciiTheme="minorHAnsi" w:hAnsiTheme="minorHAnsi" w:cstheme="minorHAnsi"/>
        </w:rPr>
        <w:t>% zmiennych składników wynagrodzenia oraz wstrzymania wypłaty uznaniowych świadczeń emerytalnych w postaci instrumentów finansowych;</w:t>
      </w:r>
    </w:p>
    <w:p w14:paraId="03064969" w14:textId="50A406B1" w:rsidR="003B2A10" w:rsidRPr="009405EF" w:rsidRDefault="009405EF" w:rsidP="00D40593">
      <w:pPr>
        <w:pStyle w:val="Style6"/>
        <w:widowControl/>
        <w:numPr>
          <w:ilvl w:val="0"/>
          <w:numId w:val="26"/>
        </w:numPr>
        <w:tabs>
          <w:tab w:val="left" w:pos="720"/>
        </w:tabs>
        <w:spacing w:before="120" w:after="120" w:line="240" w:lineRule="auto"/>
        <w:ind w:left="720" w:hanging="350"/>
        <w:rPr>
          <w:rStyle w:val="FontStyle22"/>
          <w:rFonts w:asciiTheme="minorHAnsi" w:hAnsiTheme="minorHAnsi" w:cstheme="minorHAnsi"/>
        </w:rPr>
      </w:pPr>
      <w:r>
        <w:rPr>
          <w:rStyle w:val="FontStyle22"/>
          <w:rFonts w:asciiTheme="minorHAnsi" w:hAnsiTheme="minorHAnsi" w:cstheme="minorHAnsi"/>
        </w:rPr>
        <w:lastRenderedPageBreak/>
        <w:t xml:space="preserve">w </w:t>
      </w:r>
      <w:r w:rsidR="0010395C" w:rsidRPr="00483CF5">
        <w:rPr>
          <w:rStyle w:val="FontStyle22"/>
          <w:rFonts w:asciiTheme="minorHAnsi" w:hAnsiTheme="minorHAnsi" w:cstheme="minorHAnsi"/>
        </w:rPr>
        <w:t>§ 30 ust. 2 Rozp</w:t>
      </w:r>
      <w:r w:rsidR="006346C4">
        <w:rPr>
          <w:rStyle w:val="FontStyle22"/>
          <w:rFonts w:asciiTheme="minorHAnsi" w:hAnsiTheme="minorHAnsi" w:cstheme="minorHAnsi"/>
        </w:rPr>
        <w:t xml:space="preserve">orządzenia </w:t>
      </w:r>
      <w:r w:rsidR="0010395C" w:rsidRPr="00483CF5">
        <w:rPr>
          <w:rStyle w:val="FontStyle22"/>
          <w:rFonts w:asciiTheme="minorHAnsi" w:hAnsiTheme="minorHAnsi" w:cstheme="minorHAnsi"/>
        </w:rPr>
        <w:t xml:space="preserve"> MFFiPR</w:t>
      </w:r>
      <w:r w:rsidR="006346C4">
        <w:rPr>
          <w:rStyle w:val="FontStyle22"/>
          <w:rFonts w:asciiTheme="minorHAnsi" w:hAnsiTheme="minorHAnsi" w:cstheme="minorHAnsi"/>
        </w:rPr>
        <w:t xml:space="preserve">, </w:t>
      </w:r>
      <w:r w:rsidR="0010395C" w:rsidRPr="00483CF5">
        <w:rPr>
          <w:rStyle w:val="FontStyle22"/>
          <w:rFonts w:asciiTheme="minorHAnsi" w:hAnsiTheme="minorHAnsi" w:cstheme="minorHAnsi"/>
        </w:rPr>
        <w:t>tzn. Bank stosuje przepisy Rozp</w:t>
      </w:r>
      <w:r w:rsidR="006346C4">
        <w:rPr>
          <w:rStyle w:val="FontStyle22"/>
          <w:rFonts w:asciiTheme="minorHAnsi" w:hAnsiTheme="minorHAnsi" w:cstheme="minorHAnsi"/>
        </w:rPr>
        <w:t>orządzenia</w:t>
      </w:r>
      <w:r w:rsidR="0010395C" w:rsidRPr="00483CF5">
        <w:rPr>
          <w:rStyle w:val="FontStyle22"/>
          <w:rFonts w:asciiTheme="minorHAnsi" w:hAnsiTheme="minorHAnsi" w:cstheme="minorHAnsi"/>
        </w:rPr>
        <w:t xml:space="preserve"> MFFiPR, będącego podstawą przyjęcia Polityki</w:t>
      </w:r>
      <w:r>
        <w:rPr>
          <w:rStyle w:val="FontStyle22"/>
          <w:rFonts w:asciiTheme="minorHAnsi" w:hAnsiTheme="minorHAnsi" w:cstheme="minorHAnsi"/>
        </w:rPr>
        <w:t xml:space="preserve"> wynagrodzeń</w:t>
      </w:r>
      <w:r w:rsidR="0010395C" w:rsidRPr="00483CF5">
        <w:rPr>
          <w:rStyle w:val="FontStyle22"/>
          <w:rFonts w:asciiTheme="minorHAnsi" w:hAnsiTheme="minorHAnsi" w:cstheme="minorHAnsi"/>
        </w:rPr>
        <w:t>, odpowiednio do formy prawnej</w:t>
      </w:r>
      <w:r w:rsidR="006346C4">
        <w:rPr>
          <w:rStyle w:val="FontStyle22"/>
          <w:rFonts w:asciiTheme="minorHAnsi" w:hAnsiTheme="minorHAnsi" w:cstheme="minorHAnsi"/>
        </w:rPr>
        <w:t>,</w:t>
      </w:r>
      <w:r w:rsidR="0010395C" w:rsidRPr="00483CF5">
        <w:rPr>
          <w:rStyle w:val="FontStyle22"/>
          <w:rFonts w:asciiTheme="minorHAnsi" w:hAnsiTheme="minorHAnsi" w:cstheme="minorHAnsi"/>
        </w:rPr>
        <w:t xml:space="preserve"> w jakiej Bank działa, rozmiaru działalności, ryzyka związanego z prowadzoną działalnością, wewnętrznej organizacji oraz charakteru, zakresu i stopnia złożoności prowadzonej działalności.</w:t>
      </w:r>
    </w:p>
    <w:p w14:paraId="675E319E" w14:textId="6A6B75D0" w:rsidR="009C7196" w:rsidRDefault="00732260" w:rsidP="009405EF">
      <w:pPr>
        <w:pStyle w:val="Style6"/>
        <w:widowControl/>
        <w:numPr>
          <w:ilvl w:val="0"/>
          <w:numId w:val="34"/>
        </w:numPr>
        <w:tabs>
          <w:tab w:val="left" w:pos="426"/>
        </w:tabs>
        <w:spacing w:before="120" w:after="120" w:line="240" w:lineRule="auto"/>
        <w:ind w:left="426" w:hanging="426"/>
        <w:rPr>
          <w:rStyle w:val="FontStyle22"/>
          <w:rFonts w:asciiTheme="minorHAnsi" w:hAnsiTheme="minorHAnsi" w:cstheme="minorHAnsi"/>
        </w:rPr>
      </w:pPr>
      <w:r w:rsidRPr="00D40593">
        <w:rPr>
          <w:rStyle w:val="FontStyle22"/>
          <w:rFonts w:asciiTheme="minorHAnsi" w:hAnsiTheme="minorHAnsi" w:cstheme="minorHAnsi"/>
        </w:rPr>
        <w:t>Zarząd Banku</w:t>
      </w:r>
      <w:r w:rsidR="00281C25" w:rsidRPr="00D40593">
        <w:rPr>
          <w:rStyle w:val="FontStyle22"/>
          <w:rFonts w:asciiTheme="minorHAnsi" w:hAnsiTheme="minorHAnsi" w:cstheme="minorHAnsi"/>
        </w:rPr>
        <w:t>,</w:t>
      </w:r>
      <w:r w:rsidRPr="00D40593">
        <w:rPr>
          <w:rStyle w:val="FontStyle22"/>
          <w:rFonts w:asciiTheme="minorHAnsi" w:hAnsiTheme="minorHAnsi" w:cstheme="minorHAnsi"/>
        </w:rPr>
        <w:t xml:space="preserve"> nie rzadziej niż raz w roku</w:t>
      </w:r>
      <w:r w:rsidR="00281C25" w:rsidRPr="00D40593">
        <w:rPr>
          <w:rStyle w:val="FontStyle22"/>
          <w:rFonts w:asciiTheme="minorHAnsi" w:hAnsiTheme="minorHAnsi" w:cstheme="minorHAnsi"/>
        </w:rPr>
        <w:t>,</w:t>
      </w:r>
      <w:r w:rsidRPr="00D40593">
        <w:rPr>
          <w:rStyle w:val="FontStyle22"/>
          <w:rFonts w:asciiTheme="minorHAnsi" w:hAnsiTheme="minorHAnsi" w:cstheme="minorHAnsi"/>
        </w:rPr>
        <w:t xml:space="preserve"> </w:t>
      </w:r>
      <w:r w:rsidR="00044C9C" w:rsidRPr="00D40593">
        <w:rPr>
          <w:rStyle w:val="FontStyle22"/>
          <w:rFonts w:asciiTheme="minorHAnsi" w:hAnsiTheme="minorHAnsi" w:cstheme="minorHAnsi"/>
        </w:rPr>
        <w:t xml:space="preserve">identyfikuje </w:t>
      </w:r>
      <w:r w:rsidRPr="00D40593">
        <w:rPr>
          <w:rStyle w:val="FontStyle22"/>
          <w:rFonts w:asciiTheme="minorHAnsi" w:hAnsiTheme="minorHAnsi" w:cstheme="minorHAnsi"/>
        </w:rPr>
        <w:t>pracowników</w:t>
      </w:r>
      <w:r w:rsidR="00225E89" w:rsidRPr="00D40593">
        <w:rPr>
          <w:rStyle w:val="FontStyle22"/>
          <w:rFonts w:asciiTheme="minorHAnsi" w:hAnsiTheme="minorHAnsi" w:cstheme="minorHAnsi"/>
        </w:rPr>
        <w:t>, których działalność zawodowa ma istotny wpływ na profil ryzyka Banku</w:t>
      </w:r>
      <w:r w:rsidR="00281C25" w:rsidRPr="00D40593">
        <w:rPr>
          <w:rStyle w:val="FontStyle22"/>
          <w:rFonts w:asciiTheme="minorHAnsi" w:hAnsiTheme="minorHAnsi" w:cstheme="minorHAnsi"/>
        </w:rPr>
        <w:t>,</w:t>
      </w:r>
      <w:r w:rsidR="00225E89" w:rsidRPr="00D40593">
        <w:rPr>
          <w:rStyle w:val="FontStyle22"/>
          <w:rFonts w:asciiTheme="minorHAnsi" w:hAnsiTheme="minorHAnsi" w:cstheme="minorHAnsi"/>
        </w:rPr>
        <w:t xml:space="preserve"> </w:t>
      </w:r>
      <w:r w:rsidR="00044C9C" w:rsidRPr="00D40593">
        <w:rPr>
          <w:rStyle w:val="FontStyle22"/>
          <w:rFonts w:asciiTheme="minorHAnsi" w:hAnsiTheme="minorHAnsi" w:cstheme="minorHAnsi"/>
        </w:rPr>
        <w:t>w oparciu o kryteria</w:t>
      </w:r>
      <w:r w:rsidR="008F2580" w:rsidRPr="00D40593">
        <w:rPr>
          <w:rStyle w:val="FontStyle22"/>
          <w:rFonts w:asciiTheme="minorHAnsi" w:hAnsiTheme="minorHAnsi" w:cstheme="minorHAnsi"/>
        </w:rPr>
        <w:t xml:space="preserve"> ilościowe i </w:t>
      </w:r>
      <w:r w:rsidR="00044C9C" w:rsidRPr="00D40593">
        <w:rPr>
          <w:rStyle w:val="FontStyle22"/>
          <w:rFonts w:asciiTheme="minorHAnsi" w:hAnsiTheme="minorHAnsi" w:cstheme="minorHAnsi"/>
        </w:rPr>
        <w:t>jakościowe</w:t>
      </w:r>
      <w:r w:rsidR="000609C9" w:rsidRPr="00D40593">
        <w:rPr>
          <w:rStyle w:val="FontStyle22"/>
          <w:rFonts w:asciiTheme="minorHAnsi" w:hAnsiTheme="minorHAnsi" w:cstheme="minorHAnsi"/>
        </w:rPr>
        <w:t>.</w:t>
      </w:r>
      <w:r w:rsidR="00B1199D" w:rsidRPr="00D40593">
        <w:rPr>
          <w:rStyle w:val="FontStyle22"/>
          <w:rFonts w:asciiTheme="minorHAnsi" w:hAnsiTheme="minorHAnsi" w:cstheme="minorHAnsi"/>
        </w:rPr>
        <w:t xml:space="preserve"> </w:t>
      </w:r>
      <w:r w:rsidR="000609C9" w:rsidRPr="00D40593">
        <w:rPr>
          <w:rStyle w:val="FontStyle22"/>
          <w:rFonts w:asciiTheme="minorHAnsi" w:hAnsiTheme="minorHAnsi" w:cstheme="minorHAnsi"/>
        </w:rPr>
        <w:t>Szczegółowe zasady identyfikacji, w tym kryteria ilościowe oraz jakościowe</w:t>
      </w:r>
      <w:r w:rsidR="009405EF" w:rsidRPr="00D40593">
        <w:rPr>
          <w:rStyle w:val="FontStyle22"/>
          <w:rFonts w:asciiTheme="minorHAnsi" w:hAnsiTheme="minorHAnsi" w:cstheme="minorHAnsi"/>
        </w:rPr>
        <w:t>,</w:t>
      </w:r>
      <w:r w:rsidR="000609C9" w:rsidRPr="00D40593">
        <w:rPr>
          <w:rStyle w:val="FontStyle22"/>
          <w:rFonts w:asciiTheme="minorHAnsi" w:hAnsiTheme="minorHAnsi" w:cstheme="minorHAnsi"/>
        </w:rPr>
        <w:t xml:space="preserve"> oraz zasady wypłaty zmiennych składników wynagrodzeń </w:t>
      </w:r>
      <w:r w:rsidR="00F01D72" w:rsidRPr="00D40593">
        <w:rPr>
          <w:rStyle w:val="FontStyle22"/>
          <w:rFonts w:asciiTheme="minorHAnsi" w:hAnsiTheme="minorHAnsi" w:cstheme="minorHAnsi"/>
        </w:rPr>
        <w:t xml:space="preserve">tym </w:t>
      </w:r>
      <w:r w:rsidR="000609C9" w:rsidRPr="00D40593">
        <w:rPr>
          <w:rStyle w:val="FontStyle22"/>
          <w:rFonts w:asciiTheme="minorHAnsi" w:hAnsiTheme="minorHAnsi" w:cstheme="minorHAnsi"/>
        </w:rPr>
        <w:t xml:space="preserve">pracownikom określa </w:t>
      </w:r>
      <w:r w:rsidR="005C668D" w:rsidRPr="00D40593">
        <w:rPr>
          <w:rStyle w:val="FontStyle22"/>
          <w:rFonts w:asciiTheme="minorHAnsi" w:hAnsiTheme="minorHAnsi" w:cstheme="minorHAnsi"/>
        </w:rPr>
        <w:t>Polityka wynagradzania pracowników, których działalność zawodowa ma istotny wpływ na profil ryzyka Banku Spółdzielczego w Legionowie.</w:t>
      </w:r>
      <w:r w:rsidR="009B1D90" w:rsidRPr="00D40593">
        <w:rPr>
          <w:rStyle w:val="FontStyle22"/>
          <w:rFonts w:asciiTheme="minorHAnsi" w:hAnsiTheme="minorHAnsi" w:cstheme="minorHAnsi"/>
        </w:rPr>
        <w:t xml:space="preserve"> </w:t>
      </w:r>
      <w:r w:rsidR="00A879DF" w:rsidRPr="00D40593">
        <w:rPr>
          <w:rStyle w:val="FontStyle22"/>
          <w:rFonts w:asciiTheme="minorHAnsi" w:hAnsiTheme="minorHAnsi" w:cstheme="minorHAnsi"/>
        </w:rPr>
        <w:t xml:space="preserve"> </w:t>
      </w:r>
    </w:p>
    <w:p w14:paraId="403460BC" w14:textId="620F82A3" w:rsidR="003B1AD4" w:rsidRPr="00E857F9" w:rsidRDefault="00B16011" w:rsidP="00A13CCA">
      <w:pPr>
        <w:pStyle w:val="Style6"/>
        <w:widowControl/>
        <w:numPr>
          <w:ilvl w:val="0"/>
          <w:numId w:val="34"/>
        </w:numPr>
        <w:tabs>
          <w:tab w:val="left" w:pos="426"/>
        </w:tabs>
        <w:spacing w:before="120" w:after="120" w:line="240" w:lineRule="auto"/>
        <w:ind w:left="426" w:hanging="426"/>
        <w:rPr>
          <w:rStyle w:val="FontStyle22"/>
          <w:rFonts w:asciiTheme="minorHAnsi" w:hAnsiTheme="minorHAnsi" w:cstheme="minorHAnsi"/>
        </w:rPr>
      </w:pPr>
      <w:bookmarkStart w:id="39" w:name="_Hlk60048292"/>
      <w:r w:rsidRPr="00E857F9">
        <w:rPr>
          <w:rStyle w:val="FontStyle22"/>
          <w:rFonts w:asciiTheme="minorHAnsi" w:hAnsiTheme="minorHAnsi" w:cstheme="minorHAnsi"/>
        </w:rPr>
        <w:t>W</w:t>
      </w:r>
      <w:r w:rsidR="0017757A" w:rsidRPr="00E857F9">
        <w:rPr>
          <w:rStyle w:val="FontStyle22"/>
          <w:rFonts w:asciiTheme="minorHAnsi" w:hAnsiTheme="minorHAnsi" w:cstheme="minorHAnsi"/>
        </w:rPr>
        <w:t xml:space="preserve"> przypadku </w:t>
      </w:r>
      <w:r w:rsidR="00E857F9" w:rsidRPr="00E857F9">
        <w:rPr>
          <w:rStyle w:val="FontStyle22"/>
          <w:rFonts w:asciiTheme="minorHAnsi" w:hAnsiTheme="minorHAnsi" w:cstheme="minorHAnsi"/>
        </w:rPr>
        <w:t xml:space="preserve">pozostałych pracowników pełniących kluczowe funkcje, wymienionych w załączniku nr 1 do Polityki wynagradzania pracowników, których działalność zawodowa ma istotny wpływ na profil ryzyka Banku Spółdzielczego w Legionowie </w:t>
      </w:r>
      <w:r w:rsidR="0017757A" w:rsidRPr="00E857F9">
        <w:rPr>
          <w:rStyle w:val="FontStyle22"/>
          <w:rFonts w:asciiTheme="minorHAnsi" w:hAnsiTheme="minorHAnsi" w:cstheme="minorHAnsi"/>
        </w:rPr>
        <w:t>są</w:t>
      </w:r>
      <w:r w:rsidR="00E857F9">
        <w:rPr>
          <w:rStyle w:val="FontStyle22"/>
          <w:rFonts w:asciiTheme="minorHAnsi" w:hAnsiTheme="minorHAnsi" w:cstheme="minorHAnsi"/>
        </w:rPr>
        <w:t xml:space="preserve"> </w:t>
      </w:r>
      <w:r w:rsidR="0017757A" w:rsidRPr="00E857F9">
        <w:rPr>
          <w:rStyle w:val="FontStyle22"/>
          <w:rFonts w:asciiTheme="minorHAnsi" w:hAnsiTheme="minorHAnsi" w:cstheme="minorHAnsi"/>
        </w:rPr>
        <w:t xml:space="preserve">to kryteria niefinansowe, odzwierciedlające realizację celów wynikających z pełnionej funkcji. </w:t>
      </w:r>
      <w:r w:rsidR="000A3AFF" w:rsidRPr="00E857F9">
        <w:rPr>
          <w:rStyle w:val="FontStyle22"/>
          <w:rFonts w:asciiTheme="minorHAnsi" w:hAnsiTheme="minorHAnsi" w:cstheme="minorHAnsi"/>
        </w:rPr>
        <w:t>Wynagrodzenie tych osób nie jest uzależnione od wyn</w:t>
      </w:r>
      <w:r w:rsidR="008F2580" w:rsidRPr="00E857F9">
        <w:rPr>
          <w:rStyle w:val="FontStyle22"/>
          <w:rFonts w:asciiTheme="minorHAnsi" w:hAnsiTheme="minorHAnsi" w:cstheme="minorHAnsi"/>
        </w:rPr>
        <w:t>ików finansowych uzyskiwanych w </w:t>
      </w:r>
      <w:r w:rsidR="000A3AFF" w:rsidRPr="00E857F9">
        <w:rPr>
          <w:rStyle w:val="FontStyle22"/>
          <w:rFonts w:asciiTheme="minorHAnsi" w:hAnsiTheme="minorHAnsi" w:cstheme="minorHAnsi"/>
        </w:rPr>
        <w:t>kontrolowanych przez nich obszarach działalności Banku</w:t>
      </w:r>
      <w:r w:rsidR="003B1AD4" w:rsidRPr="00E857F9">
        <w:rPr>
          <w:rStyle w:val="FontStyle22"/>
          <w:rFonts w:asciiTheme="minorHAnsi" w:hAnsiTheme="minorHAnsi" w:cstheme="minorHAnsi"/>
        </w:rPr>
        <w:t xml:space="preserve">. </w:t>
      </w:r>
    </w:p>
    <w:p w14:paraId="2BD9C87E" w14:textId="77777777" w:rsidR="0004740D" w:rsidRPr="00483CF5" w:rsidRDefault="0004740D" w:rsidP="003F1EC1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 w:cstheme="minorHAnsi"/>
          <w:lang w:eastAsia="pl-PL"/>
        </w:rPr>
      </w:pPr>
    </w:p>
    <w:p w14:paraId="14F3BAEE" w14:textId="4F630E67" w:rsidR="004765EF" w:rsidRPr="00483CF5" w:rsidRDefault="004765EF" w:rsidP="003F1EC1">
      <w:pPr>
        <w:pStyle w:val="Nagwek1"/>
        <w:spacing w:before="120" w:after="120"/>
        <w:ind w:left="0" w:firstLine="0"/>
        <w:rPr>
          <w:rFonts w:asciiTheme="minorHAnsi" w:eastAsia="Times New Roman" w:hAnsiTheme="minorHAnsi" w:cstheme="minorHAnsi"/>
          <w:bCs w:val="0"/>
          <w:color w:val="101010"/>
          <w:sz w:val="22"/>
          <w:szCs w:val="22"/>
          <w:lang w:eastAsia="pl-PL"/>
        </w:rPr>
      </w:pPr>
      <w:bookmarkStart w:id="40" w:name="_Toc101957823"/>
      <w:bookmarkEnd w:id="39"/>
      <w:r w:rsidRPr="00483CF5">
        <w:rPr>
          <w:rFonts w:asciiTheme="minorHAnsi" w:hAnsiTheme="minorHAnsi" w:cstheme="minorHAnsi"/>
          <w:sz w:val="22"/>
          <w:szCs w:val="22"/>
        </w:rPr>
        <w:t xml:space="preserve">Szczególne zasady wynagradzania pracowników </w:t>
      </w:r>
      <w:r w:rsidRPr="00483CF5">
        <w:rPr>
          <w:rFonts w:asciiTheme="minorHAnsi" w:eastAsia="Times New Roman" w:hAnsiTheme="minorHAnsi" w:cstheme="minorHAnsi"/>
          <w:bCs w:val="0"/>
          <w:color w:val="101010"/>
          <w:sz w:val="22"/>
          <w:szCs w:val="22"/>
          <w:lang w:eastAsia="pl-PL"/>
        </w:rPr>
        <w:t>zaangażowanych w świadczenie usług</w:t>
      </w:r>
      <w:bookmarkEnd w:id="40"/>
    </w:p>
    <w:p w14:paraId="00951E0D" w14:textId="203D75EA" w:rsidR="00687AF8" w:rsidRPr="00483CF5" w:rsidRDefault="00687AF8" w:rsidP="00064E02">
      <w:pPr>
        <w:spacing w:before="120" w:after="120"/>
        <w:jc w:val="center"/>
        <w:rPr>
          <w:rFonts w:cstheme="minorHAnsi"/>
          <w:b/>
        </w:rPr>
      </w:pPr>
      <w:r w:rsidRPr="00483CF5">
        <w:rPr>
          <w:rFonts w:cstheme="minorHAnsi"/>
          <w:b/>
        </w:rPr>
        <w:t xml:space="preserve">§ </w:t>
      </w:r>
      <w:r w:rsidR="00331279" w:rsidRPr="00483CF5">
        <w:rPr>
          <w:rFonts w:cstheme="minorHAnsi"/>
          <w:b/>
        </w:rPr>
        <w:t>15</w:t>
      </w:r>
      <w:r w:rsidRPr="00483CF5">
        <w:rPr>
          <w:rFonts w:cstheme="minorHAnsi"/>
          <w:b/>
        </w:rPr>
        <w:t>.</w:t>
      </w:r>
    </w:p>
    <w:p w14:paraId="73AE98DC" w14:textId="42693B49" w:rsidR="00E70D62" w:rsidRPr="00483CF5" w:rsidRDefault="00E70D62" w:rsidP="00B24163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eastAsia="Times New Roman" w:cstheme="minorHAnsi"/>
          <w:bCs/>
          <w:color w:val="101010"/>
          <w:lang w:eastAsia="pl-PL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Wynagrodzenia zmienne, o ile są przyznawane </w:t>
      </w:r>
      <w:r w:rsidR="008C4719" w:rsidRPr="00483CF5">
        <w:rPr>
          <w:rFonts w:eastAsia="Times New Roman" w:cstheme="minorHAnsi"/>
          <w:bCs/>
          <w:color w:val="101010"/>
          <w:lang w:eastAsia="pl-PL"/>
        </w:rPr>
        <w:t xml:space="preserve">pracownikom bezpośrednio lub pośrednio zaangażowanym w świadczenie </w:t>
      </w:r>
      <w:r w:rsidRPr="00483CF5">
        <w:rPr>
          <w:rFonts w:eastAsia="Times New Roman" w:cstheme="minorHAnsi"/>
          <w:bCs/>
          <w:color w:val="101010"/>
          <w:lang w:eastAsia="pl-PL"/>
        </w:rPr>
        <w:t>usług klientom, mają stanowić zachętę do odpowiedzialnej praktyki biznesowej, uczciwego i rzetelnego traktowania klienta</w:t>
      </w:r>
      <w:r w:rsidR="00F64F4D" w:rsidRPr="00483CF5">
        <w:rPr>
          <w:rFonts w:eastAsia="Times New Roman" w:cstheme="minorHAnsi"/>
          <w:bCs/>
          <w:color w:val="101010"/>
          <w:lang w:eastAsia="pl-PL"/>
        </w:rPr>
        <w:t>, oferowania klientom produktów dostosowanych do ich potrzeb i oczekiwań</w:t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 oraz unikania konfliktu interesów w stosunkach </w:t>
      </w:r>
      <w:r w:rsidR="00F66878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>z klientami.</w:t>
      </w:r>
      <w:r w:rsidR="00B82AF5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</w:p>
    <w:p w14:paraId="127EC9C9" w14:textId="0FB05315" w:rsidR="00560ED9" w:rsidRPr="00D40593" w:rsidRDefault="00E70D62" w:rsidP="00B24163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cstheme="minorHAnsi"/>
        </w:rPr>
      </w:pPr>
      <w:r w:rsidRPr="00483CF5">
        <w:rPr>
          <w:rFonts w:eastAsia="Times New Roman" w:cstheme="minorHAnsi"/>
          <w:bCs/>
          <w:color w:val="101010"/>
          <w:lang w:eastAsia="pl-PL"/>
        </w:rPr>
        <w:t xml:space="preserve">Bank nie wynagradza pracowników ani nie ocenia ich wyników w sposób, który jest sprzeczny </w:t>
      </w:r>
      <w:r w:rsidR="00F66878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 xml:space="preserve">z obowiązkiem polegającym na działaniu w najlepiej pojętym interesie swoich klientów, </w:t>
      </w:r>
      <w:r w:rsidR="00D7215A">
        <w:rPr>
          <w:rFonts w:eastAsia="Times New Roman" w:cstheme="minorHAnsi"/>
          <w:bCs/>
          <w:color w:val="101010"/>
          <w:lang w:eastAsia="pl-PL"/>
        </w:rPr>
        <w:br/>
      </w:r>
      <w:r w:rsidRPr="00483CF5">
        <w:rPr>
          <w:rFonts w:eastAsia="Times New Roman" w:cstheme="minorHAnsi"/>
          <w:bCs/>
          <w:color w:val="101010"/>
          <w:lang w:eastAsia="pl-PL"/>
        </w:rPr>
        <w:t>na przykład poprzez wynagrodzenia, cele w zakresie sprzedaży lub inne, które zachęcają do rekomendowania lub sprzedawania danego produktu w sytuacji, gdy to inny produkt może lepiej zaspokoić potrzeby klientów.</w:t>
      </w:r>
      <w:r w:rsidR="00BF73BD" w:rsidRPr="00483CF5">
        <w:rPr>
          <w:rFonts w:eastAsia="Times New Roman" w:cstheme="minorHAnsi"/>
          <w:bCs/>
          <w:color w:val="101010"/>
          <w:lang w:eastAsia="pl-PL"/>
        </w:rPr>
        <w:t xml:space="preserve"> </w:t>
      </w:r>
    </w:p>
    <w:p w14:paraId="7A6FFF94" w14:textId="77777777" w:rsidR="00A64D6B" w:rsidRPr="00D40593" w:rsidRDefault="00A64D6B" w:rsidP="00D40593">
      <w:pPr>
        <w:pStyle w:val="Akapitzlist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17454ED2" w14:textId="62CDF6B8" w:rsidR="00BE7E9E" w:rsidRPr="00D40593" w:rsidRDefault="00BE7E9E" w:rsidP="00D40593">
      <w:pPr>
        <w:pStyle w:val="Nagwek1"/>
        <w:spacing w:before="120" w:after="120"/>
        <w:ind w:left="0" w:firstLine="0"/>
        <w:rPr>
          <w:rFonts w:ascii="Calibri" w:hAnsi="Calibri" w:cs="Calibri"/>
          <w:b w:val="0"/>
          <w:bCs w:val="0"/>
        </w:rPr>
      </w:pPr>
      <w:bookmarkStart w:id="41" w:name="_Toc101957824"/>
      <w:r w:rsidRPr="00D40593">
        <w:rPr>
          <w:rFonts w:ascii="Calibri" w:hAnsi="Calibri" w:cs="Calibri"/>
          <w:sz w:val="22"/>
          <w:szCs w:val="22"/>
        </w:rPr>
        <w:t>Postanowienia końcowe</w:t>
      </w:r>
      <w:bookmarkEnd w:id="41"/>
    </w:p>
    <w:p w14:paraId="58ED93BF" w14:textId="4C06C727" w:rsidR="00AF1613" w:rsidRDefault="00AF1613" w:rsidP="006A7E48">
      <w:pPr>
        <w:spacing w:before="120" w:after="120" w:line="240" w:lineRule="auto"/>
        <w:jc w:val="center"/>
        <w:rPr>
          <w:rFonts w:cstheme="minorHAnsi"/>
          <w:b/>
          <w:bCs/>
        </w:rPr>
      </w:pPr>
      <w:bookmarkStart w:id="42" w:name="_Hlk101446243"/>
      <w:r w:rsidRPr="00483CF5">
        <w:rPr>
          <w:rFonts w:cstheme="minorHAnsi"/>
          <w:b/>
          <w:bCs/>
        </w:rPr>
        <w:t xml:space="preserve">§ </w:t>
      </w:r>
      <w:r w:rsidR="00331279" w:rsidRPr="00483CF5">
        <w:rPr>
          <w:rFonts w:cstheme="minorHAnsi"/>
          <w:b/>
          <w:bCs/>
        </w:rPr>
        <w:t>16</w:t>
      </w:r>
      <w:r w:rsidRPr="00483CF5">
        <w:rPr>
          <w:rFonts w:cstheme="minorHAnsi"/>
          <w:b/>
          <w:bCs/>
        </w:rPr>
        <w:t>.</w:t>
      </w:r>
    </w:p>
    <w:p w14:paraId="085C6987" w14:textId="24FE6FCA" w:rsidR="00BD4F22" w:rsidRPr="00483CF5" w:rsidRDefault="00BD4F22" w:rsidP="00A70645">
      <w:pPr>
        <w:numPr>
          <w:ilvl w:val="0"/>
          <w:numId w:val="17"/>
        </w:numPr>
        <w:spacing w:before="120" w:after="120" w:line="240" w:lineRule="auto"/>
        <w:ind w:left="426" w:hanging="426"/>
        <w:jc w:val="both"/>
        <w:rPr>
          <w:rFonts w:cstheme="minorHAnsi"/>
        </w:rPr>
      </w:pPr>
      <w:bookmarkStart w:id="43" w:name="_Hlk101958479"/>
      <w:bookmarkEnd w:id="42"/>
      <w:r w:rsidRPr="00483CF5">
        <w:rPr>
          <w:rFonts w:cstheme="minorHAnsi"/>
        </w:rPr>
        <w:t>Co najmniej raz w roku</w:t>
      </w:r>
      <w:r w:rsidR="00F66878">
        <w:rPr>
          <w:rFonts w:cstheme="minorHAnsi"/>
        </w:rPr>
        <w:t xml:space="preserve"> </w:t>
      </w:r>
      <w:r w:rsidR="0034370F" w:rsidRPr="00483CF5">
        <w:rPr>
          <w:rFonts w:cstheme="minorHAnsi"/>
        </w:rPr>
        <w:t>Stanowisko</w:t>
      </w:r>
      <w:r w:rsidR="00611C4E" w:rsidRPr="00483CF5">
        <w:rPr>
          <w:rFonts w:cstheme="minorHAnsi"/>
        </w:rPr>
        <w:t xml:space="preserve"> ds. zgodności i kontroli wewnętrznej</w:t>
      </w:r>
      <w:r w:rsidR="00E20468" w:rsidRPr="00483CF5">
        <w:rPr>
          <w:rFonts w:cstheme="minorHAnsi"/>
        </w:rPr>
        <w:t xml:space="preserve"> </w:t>
      </w:r>
      <w:r w:rsidRPr="00483CF5">
        <w:rPr>
          <w:rFonts w:cstheme="minorHAnsi"/>
        </w:rPr>
        <w:t xml:space="preserve">przeprowadza </w:t>
      </w:r>
      <w:r w:rsidR="00E96E9B" w:rsidRPr="00483CF5">
        <w:rPr>
          <w:rFonts w:cstheme="minorHAnsi"/>
        </w:rPr>
        <w:t xml:space="preserve">niezależny przegląd </w:t>
      </w:r>
      <w:r w:rsidRPr="00483CF5">
        <w:rPr>
          <w:rFonts w:cstheme="minorHAnsi"/>
        </w:rPr>
        <w:t xml:space="preserve">wdrożenia zasad </w:t>
      </w:r>
      <w:r w:rsidR="00F66878">
        <w:rPr>
          <w:rFonts w:cstheme="minorHAnsi"/>
        </w:rPr>
        <w:t>P</w:t>
      </w:r>
      <w:r w:rsidRPr="00483CF5">
        <w:rPr>
          <w:rFonts w:cstheme="minorHAnsi"/>
        </w:rPr>
        <w:t xml:space="preserve">olityki </w:t>
      </w:r>
      <w:r w:rsidRPr="003F1EC1">
        <w:rPr>
          <w:rFonts w:cstheme="minorHAnsi"/>
        </w:rPr>
        <w:t>wynagrodzeń w Banku</w:t>
      </w:r>
      <w:r w:rsidR="001A4E37" w:rsidRPr="003F1EC1">
        <w:rPr>
          <w:rFonts w:cstheme="minorHAnsi"/>
        </w:rPr>
        <w:t>,</w:t>
      </w:r>
      <w:r w:rsidRPr="003F1EC1">
        <w:rPr>
          <w:rFonts w:cstheme="minorHAnsi"/>
        </w:rPr>
        <w:t xml:space="preserve"> którego wyniki w postaci raportu </w:t>
      </w:r>
      <w:r w:rsidR="00D7215A" w:rsidRPr="003F1EC1">
        <w:rPr>
          <w:rFonts w:cstheme="minorHAnsi"/>
        </w:rPr>
        <w:br/>
      </w:r>
      <w:r w:rsidR="009567DB" w:rsidRPr="003F1EC1">
        <w:rPr>
          <w:rFonts w:cstheme="minorHAnsi"/>
        </w:rPr>
        <w:t xml:space="preserve">wraz z działaniami naprawczymi </w:t>
      </w:r>
      <w:r w:rsidRPr="003F1EC1">
        <w:rPr>
          <w:rFonts w:cstheme="minorHAnsi"/>
        </w:rPr>
        <w:t>przedstawi</w:t>
      </w:r>
      <w:r w:rsidR="00F66878" w:rsidRPr="003F1EC1">
        <w:rPr>
          <w:rFonts w:cstheme="minorHAnsi"/>
        </w:rPr>
        <w:t>a</w:t>
      </w:r>
      <w:r w:rsidRPr="003F1EC1">
        <w:rPr>
          <w:rFonts w:cstheme="minorHAnsi"/>
        </w:rPr>
        <w:t xml:space="preserve"> Zarządowi</w:t>
      </w:r>
      <w:r w:rsidRPr="00483CF5">
        <w:rPr>
          <w:rFonts w:cstheme="minorHAnsi"/>
        </w:rPr>
        <w:t xml:space="preserve"> oraz </w:t>
      </w:r>
      <w:r w:rsidR="009567DB" w:rsidRPr="00483CF5">
        <w:rPr>
          <w:rFonts w:cstheme="minorHAnsi"/>
        </w:rPr>
        <w:t>Radzie Nadzorczej</w:t>
      </w:r>
      <w:r w:rsidRPr="00483CF5">
        <w:rPr>
          <w:rFonts w:cstheme="minorHAnsi"/>
        </w:rPr>
        <w:t>.</w:t>
      </w:r>
    </w:p>
    <w:bookmarkEnd w:id="43"/>
    <w:p w14:paraId="5C491517" w14:textId="33B734E4" w:rsidR="00BD4F22" w:rsidRPr="00483CF5" w:rsidRDefault="0034370F" w:rsidP="00A70645">
      <w:pPr>
        <w:numPr>
          <w:ilvl w:val="0"/>
          <w:numId w:val="17"/>
        </w:numPr>
        <w:spacing w:before="120" w:after="120" w:line="240" w:lineRule="auto"/>
        <w:ind w:left="426" w:hanging="426"/>
        <w:jc w:val="both"/>
        <w:rPr>
          <w:rFonts w:cstheme="minorHAnsi"/>
        </w:rPr>
      </w:pPr>
      <w:r w:rsidRPr="00483CF5">
        <w:rPr>
          <w:rFonts w:cstheme="minorHAnsi"/>
        </w:rPr>
        <w:t>Stanowisko</w:t>
      </w:r>
      <w:r w:rsidR="00E20468" w:rsidRPr="00483CF5">
        <w:rPr>
          <w:rFonts w:cstheme="minorHAnsi"/>
        </w:rPr>
        <w:t xml:space="preserve"> ds. zgodności i kontroli wewnętrznej</w:t>
      </w:r>
      <w:r w:rsidR="008E262B" w:rsidRPr="00483CF5">
        <w:rPr>
          <w:rFonts w:cstheme="minorHAnsi"/>
          <w:i/>
          <w:color w:val="FF33CC"/>
        </w:rPr>
        <w:t xml:space="preserve"> </w:t>
      </w:r>
      <w:r w:rsidR="000F442C" w:rsidRPr="00483CF5">
        <w:rPr>
          <w:rFonts w:cstheme="minorHAnsi"/>
        </w:rPr>
        <w:t xml:space="preserve">w procesie zapewnienia zgodności dokonuje </w:t>
      </w:r>
      <w:bookmarkStart w:id="44" w:name="_Hlk101958415"/>
      <w:r w:rsidR="000F442C" w:rsidRPr="00483CF5">
        <w:rPr>
          <w:rFonts w:cstheme="minorHAnsi"/>
        </w:rPr>
        <w:t xml:space="preserve">analizy wpływu </w:t>
      </w:r>
      <w:r w:rsidR="00F66878">
        <w:rPr>
          <w:rFonts w:cstheme="minorHAnsi"/>
        </w:rPr>
        <w:t>P</w:t>
      </w:r>
      <w:r w:rsidR="000F442C" w:rsidRPr="00483CF5">
        <w:rPr>
          <w:rFonts w:cstheme="minorHAnsi"/>
        </w:rPr>
        <w:t xml:space="preserve">olityki wynagrodzeń na przestrzeganie przez Bank przepisów ustawowych </w:t>
      </w:r>
      <w:r w:rsidR="00F66878">
        <w:rPr>
          <w:rFonts w:cstheme="minorHAnsi"/>
        </w:rPr>
        <w:br/>
      </w:r>
      <w:r w:rsidR="000F442C" w:rsidRPr="00483CF5">
        <w:rPr>
          <w:rFonts w:cstheme="minorHAnsi"/>
        </w:rPr>
        <w:t>i wykonawczych, polityk wewnętrznych i zasad podejmowania ryzyka</w:t>
      </w:r>
      <w:r w:rsidR="00BD4F22" w:rsidRPr="00483CF5">
        <w:rPr>
          <w:rFonts w:cstheme="minorHAnsi"/>
        </w:rPr>
        <w:t>.</w:t>
      </w:r>
      <w:bookmarkEnd w:id="44"/>
    </w:p>
    <w:p w14:paraId="7ABB0445" w14:textId="7A0DEF58" w:rsidR="00BD4F22" w:rsidRDefault="00BD4F22" w:rsidP="00A70645">
      <w:pPr>
        <w:numPr>
          <w:ilvl w:val="0"/>
          <w:numId w:val="17"/>
        </w:numPr>
        <w:spacing w:before="120" w:after="120" w:line="240" w:lineRule="auto"/>
        <w:ind w:left="426" w:hanging="426"/>
        <w:jc w:val="both"/>
        <w:rPr>
          <w:rFonts w:cstheme="minorHAnsi"/>
        </w:rPr>
      </w:pPr>
      <w:r w:rsidRPr="00483CF5">
        <w:rPr>
          <w:rFonts w:cstheme="minorHAnsi"/>
        </w:rPr>
        <w:t>Rada Nadzorcza dokonuje raz w roku przeglądu zasad wynagradzania ze szczególnym uwzględnieniem danych zawartych w raporcie z monitoringu poziomu wynagrodzeń zmiennych pracowników</w:t>
      </w:r>
      <w:r w:rsidR="00C45036" w:rsidRPr="00483CF5">
        <w:rPr>
          <w:rFonts w:eastAsia="Times New Roman" w:cstheme="minorHAnsi"/>
          <w:bCs/>
          <w:color w:val="101010"/>
          <w:lang w:eastAsia="pl-PL"/>
        </w:rPr>
        <w:t xml:space="preserve">, których działalność zawodowa ma istotny wpływ na profil ryzyka Banku </w:t>
      </w:r>
      <w:r w:rsidRPr="00483CF5">
        <w:rPr>
          <w:rFonts w:cstheme="minorHAnsi"/>
        </w:rPr>
        <w:t xml:space="preserve">i raporcie z wdrożenia </w:t>
      </w:r>
      <w:r w:rsidR="00F66878">
        <w:rPr>
          <w:rFonts w:cstheme="minorHAnsi"/>
        </w:rPr>
        <w:t>P</w:t>
      </w:r>
      <w:r w:rsidRPr="00483CF5">
        <w:rPr>
          <w:rFonts w:cstheme="minorHAnsi"/>
        </w:rPr>
        <w:t>olityki wynagrodzeń w Banku</w:t>
      </w:r>
      <w:r w:rsidR="00C9724F" w:rsidRPr="00483CF5">
        <w:rPr>
          <w:rFonts w:cstheme="minorHAnsi"/>
        </w:rPr>
        <w:t>, o który</w:t>
      </w:r>
      <w:r w:rsidR="00C45036" w:rsidRPr="00483CF5">
        <w:rPr>
          <w:rFonts w:cstheme="minorHAnsi"/>
        </w:rPr>
        <w:t>m</w:t>
      </w:r>
      <w:r w:rsidR="008F2580" w:rsidRPr="00483CF5">
        <w:rPr>
          <w:rFonts w:cstheme="minorHAnsi"/>
        </w:rPr>
        <w:t xml:space="preserve"> mowa w </w:t>
      </w:r>
      <w:r w:rsidR="00C9724F" w:rsidRPr="00483CF5">
        <w:rPr>
          <w:rFonts w:cstheme="minorHAnsi"/>
        </w:rPr>
        <w:t xml:space="preserve">ust. </w:t>
      </w:r>
      <w:r w:rsidR="00E20468" w:rsidRPr="00483CF5">
        <w:rPr>
          <w:rFonts w:cstheme="minorHAnsi"/>
        </w:rPr>
        <w:t>1</w:t>
      </w:r>
      <w:r w:rsidR="00C9724F" w:rsidRPr="00483CF5">
        <w:rPr>
          <w:rFonts w:cstheme="minorHAnsi"/>
        </w:rPr>
        <w:t xml:space="preserve"> i </w:t>
      </w:r>
      <w:r w:rsidR="00E20468" w:rsidRPr="00483CF5">
        <w:rPr>
          <w:rFonts w:cstheme="minorHAnsi"/>
        </w:rPr>
        <w:t>2</w:t>
      </w:r>
      <w:r w:rsidRPr="00483CF5">
        <w:rPr>
          <w:rFonts w:cstheme="minorHAnsi"/>
        </w:rPr>
        <w:t>.</w:t>
      </w:r>
    </w:p>
    <w:p w14:paraId="7E8FC80C" w14:textId="6CFA5DEE" w:rsidR="00A64D6B" w:rsidRDefault="00A64D6B" w:rsidP="00A64D6B">
      <w:pPr>
        <w:spacing w:before="120" w:after="120" w:line="240" w:lineRule="auto"/>
        <w:jc w:val="both"/>
        <w:rPr>
          <w:rFonts w:cstheme="minorHAnsi"/>
        </w:rPr>
      </w:pPr>
    </w:p>
    <w:p w14:paraId="5BF2711D" w14:textId="77777777" w:rsidR="00A64D6B" w:rsidRPr="00483CF5" w:rsidRDefault="00A64D6B" w:rsidP="00D40593">
      <w:pPr>
        <w:spacing w:before="120" w:after="120" w:line="240" w:lineRule="auto"/>
        <w:jc w:val="both"/>
        <w:rPr>
          <w:rFonts w:cstheme="minorHAnsi"/>
        </w:rPr>
      </w:pPr>
    </w:p>
    <w:p w14:paraId="152F2BD9" w14:textId="5C632470" w:rsidR="00AF1613" w:rsidRPr="00483CF5" w:rsidRDefault="00AF1613" w:rsidP="002128ED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483CF5">
        <w:rPr>
          <w:rFonts w:cstheme="minorHAnsi"/>
          <w:b/>
          <w:bCs/>
        </w:rPr>
        <w:t xml:space="preserve">§ </w:t>
      </w:r>
      <w:r w:rsidR="00331279" w:rsidRPr="00483CF5">
        <w:rPr>
          <w:rFonts w:cstheme="minorHAnsi"/>
          <w:b/>
          <w:bCs/>
        </w:rPr>
        <w:t>17</w:t>
      </w:r>
      <w:r w:rsidRPr="00483CF5">
        <w:rPr>
          <w:rFonts w:cstheme="minorHAnsi"/>
          <w:b/>
          <w:bCs/>
        </w:rPr>
        <w:t>.</w:t>
      </w:r>
    </w:p>
    <w:p w14:paraId="4DB1E3D2" w14:textId="43B63C5A" w:rsidR="0049210A" w:rsidRPr="003F1EC1" w:rsidRDefault="00AF1613" w:rsidP="002128ED">
      <w:pPr>
        <w:pStyle w:val="Akapitzlist"/>
        <w:numPr>
          <w:ilvl w:val="0"/>
          <w:numId w:val="23"/>
        </w:numPr>
        <w:shd w:val="clear" w:color="auto" w:fill="FFFFFF"/>
        <w:spacing w:before="120" w:after="120" w:line="240" w:lineRule="auto"/>
        <w:ind w:left="426" w:hanging="426"/>
        <w:jc w:val="both"/>
        <w:rPr>
          <w:rFonts w:cstheme="minorHAnsi"/>
        </w:rPr>
      </w:pPr>
      <w:r w:rsidRPr="00483CF5">
        <w:rPr>
          <w:rFonts w:cstheme="minorHAnsi"/>
        </w:rPr>
        <w:t xml:space="preserve">Informacje o obowiązującej w Banku </w:t>
      </w:r>
      <w:r w:rsidR="00F66878">
        <w:rPr>
          <w:rFonts w:cstheme="minorHAnsi"/>
        </w:rPr>
        <w:t>P</w:t>
      </w:r>
      <w:r w:rsidRPr="00483CF5">
        <w:rPr>
          <w:rFonts w:cstheme="minorHAnsi"/>
        </w:rPr>
        <w:t xml:space="preserve">olityce wynagrodzeń oraz informacje o wynagrodzeniach członków Zarządu oraz innych </w:t>
      </w:r>
      <w:r w:rsidR="005F6F18" w:rsidRPr="00483CF5">
        <w:rPr>
          <w:rFonts w:cstheme="minorHAnsi"/>
        </w:rPr>
        <w:t>pracowników</w:t>
      </w:r>
      <w:r w:rsidR="00C45036" w:rsidRPr="00483CF5">
        <w:rPr>
          <w:rFonts w:eastAsia="Times New Roman" w:cstheme="minorHAnsi"/>
          <w:bCs/>
          <w:color w:val="101010"/>
          <w:lang w:eastAsia="pl-PL"/>
        </w:rPr>
        <w:t xml:space="preserve">, których działalność zawodowa ma istotny wpływ </w:t>
      </w:r>
      <w:r w:rsidR="00F66878">
        <w:rPr>
          <w:rFonts w:eastAsia="Times New Roman" w:cstheme="minorHAnsi"/>
          <w:bCs/>
          <w:color w:val="101010"/>
          <w:lang w:eastAsia="pl-PL"/>
        </w:rPr>
        <w:br/>
      </w:r>
      <w:r w:rsidR="00C45036" w:rsidRPr="00483CF5">
        <w:rPr>
          <w:rFonts w:eastAsia="Times New Roman" w:cstheme="minorHAnsi"/>
          <w:bCs/>
          <w:color w:val="101010"/>
          <w:lang w:eastAsia="pl-PL"/>
        </w:rPr>
        <w:t xml:space="preserve">na profil ryzyka Banku </w:t>
      </w:r>
      <w:r w:rsidRPr="00483CF5">
        <w:rPr>
          <w:rFonts w:cstheme="minorHAnsi"/>
        </w:rPr>
        <w:t xml:space="preserve">podlegają upublicznieniu zgodnie z przyjętą przez Bank </w:t>
      </w:r>
      <w:r w:rsidR="005B6AF9" w:rsidRPr="00483CF5">
        <w:rPr>
          <w:rFonts w:cstheme="minorHAnsi"/>
        </w:rPr>
        <w:t xml:space="preserve">Polityką </w:t>
      </w:r>
      <w:r w:rsidR="005B6AF9" w:rsidRPr="003F1EC1">
        <w:rPr>
          <w:rFonts w:cstheme="minorHAnsi"/>
        </w:rPr>
        <w:t>informacyjną</w:t>
      </w:r>
      <w:r w:rsidR="00F66878" w:rsidRPr="003F1EC1">
        <w:rPr>
          <w:rFonts w:cstheme="minorHAnsi"/>
        </w:rPr>
        <w:t>.</w:t>
      </w:r>
    </w:p>
    <w:p w14:paraId="4A260FDB" w14:textId="4A16C340" w:rsidR="009A65C3" w:rsidRPr="003F1EC1" w:rsidRDefault="009A65C3" w:rsidP="002128ED">
      <w:pPr>
        <w:numPr>
          <w:ilvl w:val="0"/>
          <w:numId w:val="23"/>
        </w:numPr>
        <w:shd w:val="clear" w:color="auto" w:fill="FFFFFF"/>
        <w:spacing w:before="120" w:after="120" w:line="240" w:lineRule="auto"/>
        <w:ind w:left="426" w:hanging="426"/>
        <w:jc w:val="both"/>
        <w:rPr>
          <w:rFonts w:cstheme="minorHAnsi"/>
        </w:rPr>
      </w:pPr>
      <w:r w:rsidRPr="003F1EC1">
        <w:rPr>
          <w:rFonts w:cstheme="minorHAnsi"/>
        </w:rPr>
        <w:t xml:space="preserve">Bank, raz do roku, w terminie do dnia 31 stycznia, przekazuje Komisji Nadzoru Finansowego: </w:t>
      </w:r>
    </w:p>
    <w:p w14:paraId="313B0EE4" w14:textId="77777777" w:rsidR="009A65C3" w:rsidRPr="003F1EC1" w:rsidRDefault="009A65C3" w:rsidP="00B50828">
      <w:pPr>
        <w:pStyle w:val="NormalnyWeb"/>
        <w:numPr>
          <w:ilvl w:val="0"/>
          <w:numId w:val="24"/>
        </w:numPr>
        <w:spacing w:before="120" w:beforeAutospacing="0" w:after="120" w:afterAutospacing="0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1EC1">
        <w:rPr>
          <w:rFonts w:asciiTheme="minorHAnsi" w:hAnsiTheme="minorHAnsi" w:cstheme="minorHAnsi"/>
          <w:bCs/>
          <w:sz w:val="22"/>
          <w:szCs w:val="22"/>
        </w:rPr>
        <w:t>informacje za rok poprzedni o zróżnicowaniu wynagrodzenia ze względu na płeć;</w:t>
      </w:r>
    </w:p>
    <w:p w14:paraId="598E6D8A" w14:textId="3201A3C8" w:rsidR="009A65C3" w:rsidRPr="003F1EC1" w:rsidRDefault="009A65C3" w:rsidP="00B50828">
      <w:pPr>
        <w:pStyle w:val="NormalnyWeb"/>
        <w:numPr>
          <w:ilvl w:val="0"/>
          <w:numId w:val="24"/>
        </w:numPr>
        <w:spacing w:before="120" w:beforeAutospacing="0" w:after="120" w:afterAutospacing="0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1EC1">
        <w:rPr>
          <w:rFonts w:asciiTheme="minorHAnsi" w:hAnsiTheme="minorHAnsi" w:cstheme="minorHAnsi"/>
          <w:bCs/>
          <w:sz w:val="22"/>
          <w:szCs w:val="22"/>
        </w:rPr>
        <w:t>dane o liczbie osób określonych w ust. 1,</w:t>
      </w:r>
      <w:r w:rsidR="008F2580" w:rsidRPr="003F1EC1">
        <w:rPr>
          <w:rFonts w:asciiTheme="minorHAnsi" w:hAnsiTheme="minorHAnsi" w:cstheme="minorHAnsi"/>
          <w:bCs/>
          <w:sz w:val="22"/>
          <w:szCs w:val="22"/>
        </w:rPr>
        <w:t xml:space="preserve"> których łączne wynagrodzenie w </w:t>
      </w:r>
      <w:r w:rsidRPr="003F1EC1">
        <w:rPr>
          <w:rFonts w:asciiTheme="minorHAnsi" w:hAnsiTheme="minorHAnsi" w:cstheme="minorHAnsi"/>
          <w:bCs/>
          <w:sz w:val="22"/>
          <w:szCs w:val="22"/>
        </w:rPr>
        <w:t>poprzednim roku wyniosło co najmniej równowartość w złotych 1 000 000 euro, wraz z informacjami dotyczącymi stanowisk zajmowanych przez te osoby oraz wartości głównych składników wynagrodzenia, przyznanych premii, nagród długookresowych oraz odprowadzonych składek emerytalnych.</w:t>
      </w:r>
    </w:p>
    <w:p w14:paraId="49492E48" w14:textId="69EC3888" w:rsidR="009A65C3" w:rsidRPr="003F1EC1" w:rsidRDefault="009A65C3" w:rsidP="00B50828">
      <w:pPr>
        <w:numPr>
          <w:ilvl w:val="0"/>
          <w:numId w:val="23"/>
        </w:numPr>
        <w:shd w:val="clear" w:color="auto" w:fill="FFFFFF"/>
        <w:spacing w:before="120" w:after="120" w:line="240" w:lineRule="auto"/>
        <w:ind w:left="426" w:hanging="426"/>
        <w:jc w:val="both"/>
        <w:rPr>
          <w:rFonts w:cstheme="minorHAnsi"/>
        </w:rPr>
      </w:pPr>
      <w:r w:rsidRPr="003F1EC1">
        <w:rPr>
          <w:rFonts w:cstheme="minorHAnsi"/>
        </w:rPr>
        <w:t>Za przygotowanie i przekazanie informacji</w:t>
      </w:r>
      <w:r w:rsidR="005D752A" w:rsidRPr="003F1EC1">
        <w:rPr>
          <w:rFonts w:cstheme="minorHAnsi"/>
        </w:rPr>
        <w:t>, o której mowa w ust. 2,</w:t>
      </w:r>
      <w:r w:rsidRPr="003F1EC1">
        <w:rPr>
          <w:rFonts w:cstheme="minorHAnsi"/>
        </w:rPr>
        <w:t xml:space="preserve"> odpowiada </w:t>
      </w:r>
      <w:r w:rsidR="005B6AF9" w:rsidRPr="003F1EC1">
        <w:rPr>
          <w:rFonts w:cstheme="minorHAnsi"/>
        </w:rPr>
        <w:t>komórka kadrowa.</w:t>
      </w:r>
    </w:p>
    <w:p w14:paraId="6D0478E1" w14:textId="5776A955" w:rsidR="00DA0BA8" w:rsidRPr="003F1EC1" w:rsidRDefault="00DA0BA8" w:rsidP="00DA0BA8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3F1EC1">
        <w:rPr>
          <w:rFonts w:cstheme="minorHAnsi"/>
          <w:b/>
          <w:bCs/>
        </w:rPr>
        <w:t>§ 1</w:t>
      </w:r>
      <w:r w:rsidR="00F72A8A">
        <w:rPr>
          <w:rFonts w:cstheme="minorHAnsi"/>
          <w:b/>
          <w:bCs/>
        </w:rPr>
        <w:t>8</w:t>
      </w:r>
      <w:r w:rsidRPr="003F1EC1">
        <w:rPr>
          <w:rFonts w:cstheme="minorHAnsi"/>
          <w:b/>
          <w:bCs/>
        </w:rPr>
        <w:t>.</w:t>
      </w:r>
    </w:p>
    <w:p w14:paraId="34C93F80" w14:textId="5EB0C3D6" w:rsidR="00F66878" w:rsidRPr="003F1EC1" w:rsidRDefault="00065EEF" w:rsidP="00D40593">
      <w:pPr>
        <w:numPr>
          <w:ilvl w:val="0"/>
          <w:numId w:val="31"/>
        </w:numPr>
        <w:shd w:val="clear" w:color="auto" w:fill="FFFFFF"/>
        <w:spacing w:before="120" w:after="120" w:line="240" w:lineRule="auto"/>
        <w:jc w:val="both"/>
        <w:rPr>
          <w:rFonts w:cstheme="minorHAnsi"/>
        </w:rPr>
      </w:pPr>
      <w:bookmarkStart w:id="45" w:name="_Toc100323212"/>
      <w:r w:rsidRPr="003F1EC1">
        <w:rPr>
          <w:rFonts w:cstheme="minorHAnsi"/>
        </w:rPr>
        <w:t>Politykę przygotowuje Zarząd, zatwierdza Rada Nadzorcza Banku.</w:t>
      </w:r>
      <w:bookmarkEnd w:id="45"/>
    </w:p>
    <w:p w14:paraId="65BFCC43" w14:textId="704F67AE" w:rsidR="00F66878" w:rsidRPr="003F1EC1" w:rsidRDefault="00065EEF" w:rsidP="00D40593">
      <w:pPr>
        <w:numPr>
          <w:ilvl w:val="0"/>
          <w:numId w:val="31"/>
        </w:numPr>
        <w:shd w:val="clear" w:color="auto" w:fill="FFFFFF"/>
        <w:spacing w:before="120" w:after="120" w:line="240" w:lineRule="auto"/>
        <w:jc w:val="both"/>
        <w:rPr>
          <w:rFonts w:cstheme="minorHAnsi"/>
        </w:rPr>
      </w:pPr>
      <w:bookmarkStart w:id="46" w:name="_Hlk101796610"/>
      <w:r w:rsidRPr="003F1EC1">
        <w:rPr>
          <w:rFonts w:cstheme="minorHAnsi"/>
        </w:rPr>
        <w:t xml:space="preserve">Niniejsza Polityka podlega </w:t>
      </w:r>
      <w:r w:rsidR="00D7215A" w:rsidRPr="003F1EC1">
        <w:rPr>
          <w:rFonts w:cstheme="minorHAnsi"/>
        </w:rPr>
        <w:t xml:space="preserve"> publikacji na stronie internetowej Banku, www.bslegionowo.pl</w:t>
      </w:r>
      <w:r w:rsidRPr="003F1EC1">
        <w:rPr>
          <w:rFonts w:cstheme="minorHAnsi"/>
        </w:rPr>
        <w:t xml:space="preserve">. </w:t>
      </w:r>
      <w:bookmarkEnd w:id="46"/>
    </w:p>
    <w:p w14:paraId="779824D3" w14:textId="312F17EB" w:rsidR="00065EEF" w:rsidRPr="003F1EC1" w:rsidRDefault="00065EEF" w:rsidP="00D40593">
      <w:pPr>
        <w:numPr>
          <w:ilvl w:val="0"/>
          <w:numId w:val="31"/>
        </w:numPr>
        <w:shd w:val="clear" w:color="auto" w:fill="FFFFFF"/>
        <w:spacing w:before="120" w:after="120" w:line="240" w:lineRule="auto"/>
        <w:jc w:val="both"/>
        <w:rPr>
          <w:rFonts w:cstheme="minorHAnsi"/>
        </w:rPr>
      </w:pPr>
      <w:bookmarkStart w:id="47" w:name="_Hlk101796519"/>
      <w:r w:rsidRPr="003F1EC1">
        <w:rPr>
          <w:rFonts w:cstheme="minorHAnsi"/>
        </w:rPr>
        <w:t>Polityka wchodzi w życie z dniem zatwierdzenia przez Radę Nadzorczą Banku</w:t>
      </w:r>
      <w:r w:rsidR="00BC5C93" w:rsidRPr="003F1EC1">
        <w:rPr>
          <w:rFonts w:cstheme="minorHAnsi"/>
        </w:rPr>
        <w:t>.</w:t>
      </w:r>
      <w:bookmarkEnd w:id="47"/>
    </w:p>
    <w:sectPr w:rsidR="00065EEF" w:rsidRPr="003F1EC1" w:rsidSect="00D4059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CB2FC" w14:textId="77777777" w:rsidR="004931C0" w:rsidRDefault="004931C0" w:rsidP="003E6862">
      <w:pPr>
        <w:spacing w:after="0" w:line="240" w:lineRule="auto"/>
      </w:pPr>
      <w:r>
        <w:separator/>
      </w:r>
    </w:p>
  </w:endnote>
  <w:endnote w:type="continuationSeparator" w:id="0">
    <w:p w14:paraId="46A2516B" w14:textId="77777777" w:rsidR="004931C0" w:rsidRDefault="004931C0" w:rsidP="003E6862">
      <w:pPr>
        <w:spacing w:after="0" w:line="240" w:lineRule="auto"/>
      </w:pPr>
      <w:r>
        <w:continuationSeparator/>
      </w:r>
    </w:p>
  </w:endnote>
  <w:endnote w:type="continuationNotice" w:id="1">
    <w:p w14:paraId="75E16846" w14:textId="77777777" w:rsidR="004931C0" w:rsidRDefault="004931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3455525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03647231" w14:textId="552D3D66" w:rsidR="00B04AF3" w:rsidRPr="00D40593" w:rsidRDefault="00B04AF3" w:rsidP="00D40593">
        <w:pPr>
          <w:pStyle w:val="Stopka"/>
          <w:tabs>
            <w:tab w:val="clear" w:pos="9072"/>
          </w:tabs>
          <w:jc w:val="right"/>
          <w:rPr>
            <w:rFonts w:ascii="Calibri" w:hAnsi="Calibri" w:cs="Calibri"/>
          </w:rPr>
        </w:pPr>
        <w:r w:rsidRPr="00D40593">
          <w:rPr>
            <w:rFonts w:ascii="Calibri" w:hAnsi="Calibri" w:cs="Calibri"/>
          </w:rPr>
          <w:fldChar w:fldCharType="begin"/>
        </w:r>
        <w:r w:rsidRPr="00D40593">
          <w:rPr>
            <w:rFonts w:ascii="Calibri" w:hAnsi="Calibri" w:cs="Calibri"/>
          </w:rPr>
          <w:instrText>PAGE   \* MERGEFORMAT</w:instrText>
        </w:r>
        <w:r w:rsidRPr="00D40593">
          <w:rPr>
            <w:rFonts w:ascii="Calibri" w:hAnsi="Calibri" w:cs="Calibri"/>
          </w:rPr>
          <w:fldChar w:fldCharType="separate"/>
        </w:r>
        <w:r w:rsidR="00C85BAC">
          <w:rPr>
            <w:rFonts w:ascii="Calibri" w:hAnsi="Calibri" w:cs="Calibri"/>
            <w:noProof/>
          </w:rPr>
          <w:t>3</w:t>
        </w:r>
        <w:r w:rsidRPr="00D40593">
          <w:rPr>
            <w:rFonts w:ascii="Calibri" w:hAnsi="Calibri" w:cs="Calibri"/>
          </w:rPr>
          <w:fldChar w:fldCharType="end"/>
        </w:r>
      </w:p>
    </w:sdtContent>
  </w:sdt>
  <w:p w14:paraId="3F7D629F" w14:textId="77777777" w:rsidR="00B04AF3" w:rsidRDefault="00B04A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A4A4F" w14:textId="77777777" w:rsidR="004931C0" w:rsidRDefault="004931C0" w:rsidP="003E6862">
      <w:pPr>
        <w:spacing w:after="0" w:line="240" w:lineRule="auto"/>
      </w:pPr>
      <w:r>
        <w:separator/>
      </w:r>
    </w:p>
  </w:footnote>
  <w:footnote w:type="continuationSeparator" w:id="0">
    <w:p w14:paraId="5F9F5824" w14:textId="77777777" w:rsidR="004931C0" w:rsidRDefault="004931C0" w:rsidP="003E6862">
      <w:pPr>
        <w:spacing w:after="0" w:line="240" w:lineRule="auto"/>
      </w:pPr>
      <w:r>
        <w:continuationSeparator/>
      </w:r>
    </w:p>
  </w:footnote>
  <w:footnote w:type="continuationNotice" w:id="1">
    <w:p w14:paraId="0A5CF5E7" w14:textId="77777777" w:rsidR="004931C0" w:rsidRDefault="004931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F7715"/>
    <w:multiLevelType w:val="hybridMultilevel"/>
    <w:tmpl w:val="BAD039EA"/>
    <w:lvl w:ilvl="0" w:tplc="346A15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4D9D"/>
    <w:multiLevelType w:val="hybridMultilevel"/>
    <w:tmpl w:val="9D50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7CB6"/>
    <w:multiLevelType w:val="hybridMultilevel"/>
    <w:tmpl w:val="51F0C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04C9"/>
    <w:multiLevelType w:val="hybridMultilevel"/>
    <w:tmpl w:val="61684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B63FC"/>
    <w:multiLevelType w:val="hybridMultilevel"/>
    <w:tmpl w:val="F23C99CA"/>
    <w:lvl w:ilvl="0" w:tplc="EE1C5E74">
      <w:start w:val="1"/>
      <w:numFmt w:val="lowerLetter"/>
      <w:lvlText w:val="%1)"/>
      <w:lvlJc w:val="left"/>
      <w:pPr>
        <w:ind w:left="121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10B8203B"/>
    <w:multiLevelType w:val="hybridMultilevel"/>
    <w:tmpl w:val="6CBA8B30"/>
    <w:lvl w:ilvl="0" w:tplc="F334D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4159E"/>
    <w:multiLevelType w:val="hybridMultilevel"/>
    <w:tmpl w:val="9FD08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0E1F"/>
    <w:multiLevelType w:val="hybridMultilevel"/>
    <w:tmpl w:val="9D50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71C2E"/>
    <w:multiLevelType w:val="hybridMultilevel"/>
    <w:tmpl w:val="E1F892FE"/>
    <w:lvl w:ilvl="0" w:tplc="9B12A12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E6B46"/>
    <w:multiLevelType w:val="hybridMultilevel"/>
    <w:tmpl w:val="5486F812"/>
    <w:lvl w:ilvl="0" w:tplc="039A6D5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4BAB"/>
    <w:multiLevelType w:val="hybridMultilevel"/>
    <w:tmpl w:val="2A92904A"/>
    <w:lvl w:ilvl="0" w:tplc="72C6AE00">
      <w:start w:val="1"/>
      <w:numFmt w:val="decimal"/>
      <w:pStyle w:val="Nagwek1"/>
      <w:lvlText w:val="Rozdział 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B694F"/>
    <w:multiLevelType w:val="hybridMultilevel"/>
    <w:tmpl w:val="9D50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D14E7"/>
    <w:multiLevelType w:val="hybridMultilevel"/>
    <w:tmpl w:val="BAD039E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E821B7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 w15:restartNumberingAfterBreak="0">
    <w:nsid w:val="394E1B07"/>
    <w:multiLevelType w:val="hybridMultilevel"/>
    <w:tmpl w:val="DFB0ECD4"/>
    <w:lvl w:ilvl="0" w:tplc="65DE684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672F"/>
    <w:multiLevelType w:val="singleLevel"/>
    <w:tmpl w:val="A6ACB020"/>
    <w:lvl w:ilvl="0">
      <w:start w:val="2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6211F34"/>
    <w:multiLevelType w:val="hybridMultilevel"/>
    <w:tmpl w:val="C9E6FFBC"/>
    <w:lvl w:ilvl="0" w:tplc="115C51B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1514B"/>
    <w:multiLevelType w:val="hybridMultilevel"/>
    <w:tmpl w:val="9FD08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07A4C"/>
    <w:multiLevelType w:val="singleLevel"/>
    <w:tmpl w:val="EE1C5E74"/>
    <w:lvl w:ilvl="0">
      <w:start w:val="1"/>
      <w:numFmt w:val="lowerLetter"/>
      <w:lvlText w:val="%1)"/>
      <w:lvlJc w:val="left"/>
      <w:pPr>
        <w:ind w:left="1210" w:hanging="360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9" w15:restartNumberingAfterBreak="0">
    <w:nsid w:val="4BB80622"/>
    <w:multiLevelType w:val="hybridMultilevel"/>
    <w:tmpl w:val="9D50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91EE9"/>
    <w:multiLevelType w:val="singleLevel"/>
    <w:tmpl w:val="4E8CCFA4"/>
    <w:lvl w:ilvl="0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21" w15:restartNumberingAfterBreak="0">
    <w:nsid w:val="50B0270C"/>
    <w:multiLevelType w:val="hybridMultilevel"/>
    <w:tmpl w:val="0A20D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834C7"/>
    <w:multiLevelType w:val="hybridMultilevel"/>
    <w:tmpl w:val="EE78F2C8"/>
    <w:lvl w:ilvl="0" w:tplc="89EA4432">
      <w:start w:val="1"/>
      <w:numFmt w:val="decimal"/>
      <w:lvlText w:val="Rozdział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007AF"/>
    <w:multiLevelType w:val="hybridMultilevel"/>
    <w:tmpl w:val="04628F7C"/>
    <w:lvl w:ilvl="0" w:tplc="06068C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E2D3C"/>
    <w:multiLevelType w:val="hybridMultilevel"/>
    <w:tmpl w:val="49FCD6D2"/>
    <w:lvl w:ilvl="0" w:tplc="65DE684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073E7"/>
    <w:multiLevelType w:val="hybridMultilevel"/>
    <w:tmpl w:val="F8962BEE"/>
    <w:lvl w:ilvl="0" w:tplc="EE1C5E74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94A7D"/>
    <w:multiLevelType w:val="hybridMultilevel"/>
    <w:tmpl w:val="7328658A"/>
    <w:lvl w:ilvl="0" w:tplc="65DE684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30986"/>
    <w:multiLevelType w:val="hybridMultilevel"/>
    <w:tmpl w:val="9D50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613DC"/>
    <w:multiLevelType w:val="hybridMultilevel"/>
    <w:tmpl w:val="E1F892F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BB3C71"/>
    <w:multiLevelType w:val="hybridMultilevel"/>
    <w:tmpl w:val="9D50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04308"/>
    <w:multiLevelType w:val="hybridMultilevel"/>
    <w:tmpl w:val="9FD08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73855"/>
    <w:multiLevelType w:val="hybridMultilevel"/>
    <w:tmpl w:val="E7E8491C"/>
    <w:lvl w:ilvl="0" w:tplc="F334D0D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B3D30E8"/>
    <w:multiLevelType w:val="hybridMultilevel"/>
    <w:tmpl w:val="FA4AAE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F245891"/>
    <w:multiLevelType w:val="hybridMultilevel"/>
    <w:tmpl w:val="27428F80"/>
    <w:lvl w:ilvl="0" w:tplc="65DE684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5846">
    <w:abstractNumId w:val="13"/>
  </w:num>
  <w:num w:numId="2" w16cid:durableId="1063213378">
    <w:abstractNumId w:val="11"/>
  </w:num>
  <w:num w:numId="3" w16cid:durableId="750741031">
    <w:abstractNumId w:val="16"/>
  </w:num>
  <w:num w:numId="4" w16cid:durableId="1089229409">
    <w:abstractNumId w:val="24"/>
  </w:num>
  <w:num w:numId="5" w16cid:durableId="1507748502">
    <w:abstractNumId w:val="2"/>
  </w:num>
  <w:num w:numId="6" w16cid:durableId="1504202514">
    <w:abstractNumId w:val="23"/>
  </w:num>
  <w:num w:numId="7" w16cid:durableId="2071802112">
    <w:abstractNumId w:val="6"/>
  </w:num>
  <w:num w:numId="8" w16cid:durableId="24983756">
    <w:abstractNumId w:val="17"/>
  </w:num>
  <w:num w:numId="9" w16cid:durableId="334066407">
    <w:abstractNumId w:val="30"/>
  </w:num>
  <w:num w:numId="10" w16cid:durableId="1706295836">
    <w:abstractNumId w:val="33"/>
  </w:num>
  <w:num w:numId="11" w16cid:durableId="756248202">
    <w:abstractNumId w:val="19"/>
  </w:num>
  <w:num w:numId="12" w16cid:durableId="741757022">
    <w:abstractNumId w:val="27"/>
  </w:num>
  <w:num w:numId="13" w16cid:durableId="1494683092">
    <w:abstractNumId w:val="14"/>
  </w:num>
  <w:num w:numId="14" w16cid:durableId="72171448">
    <w:abstractNumId w:val="21"/>
  </w:num>
  <w:num w:numId="15" w16cid:durableId="726730492">
    <w:abstractNumId w:val="22"/>
  </w:num>
  <w:num w:numId="16" w16cid:durableId="2078821190">
    <w:abstractNumId w:val="26"/>
  </w:num>
  <w:num w:numId="17" w16cid:durableId="1024211725">
    <w:abstractNumId w:val="8"/>
  </w:num>
  <w:num w:numId="18" w16cid:durableId="2065715192">
    <w:abstractNumId w:val="29"/>
  </w:num>
  <w:num w:numId="19" w16cid:durableId="1359627353">
    <w:abstractNumId w:val="7"/>
  </w:num>
  <w:num w:numId="20" w16cid:durableId="30309350">
    <w:abstractNumId w:val="1"/>
  </w:num>
  <w:num w:numId="21" w16cid:durableId="216473845">
    <w:abstractNumId w:val="31"/>
  </w:num>
  <w:num w:numId="22" w16cid:durableId="956761504">
    <w:abstractNumId w:val="4"/>
  </w:num>
  <w:num w:numId="23" w16cid:durableId="528104414">
    <w:abstractNumId w:val="0"/>
  </w:num>
  <w:num w:numId="24" w16cid:durableId="84109177">
    <w:abstractNumId w:val="32"/>
  </w:num>
  <w:num w:numId="25" w16cid:durableId="943146231">
    <w:abstractNumId w:val="25"/>
  </w:num>
  <w:num w:numId="26" w16cid:durableId="2132627827">
    <w:abstractNumId w:val="20"/>
  </w:num>
  <w:num w:numId="27" w16cid:durableId="1398746422">
    <w:abstractNumId w:val="18"/>
  </w:num>
  <w:num w:numId="28" w16cid:durableId="1555041051">
    <w:abstractNumId w:val="15"/>
  </w:num>
  <w:num w:numId="29" w16cid:durableId="2106001615">
    <w:abstractNumId w:val="22"/>
  </w:num>
  <w:num w:numId="30" w16cid:durableId="1418867360">
    <w:abstractNumId w:val="28"/>
  </w:num>
  <w:num w:numId="31" w16cid:durableId="1619750712">
    <w:abstractNumId w:val="12"/>
  </w:num>
  <w:num w:numId="32" w16cid:durableId="76094788">
    <w:abstractNumId w:val="5"/>
  </w:num>
  <w:num w:numId="33" w16cid:durableId="838884417">
    <w:abstractNumId w:val="3"/>
  </w:num>
  <w:num w:numId="34" w16cid:durableId="1025058513">
    <w:abstractNumId w:val="9"/>
  </w:num>
  <w:num w:numId="35" w16cid:durableId="1648582718">
    <w:abstractNumId w:val="22"/>
  </w:num>
  <w:num w:numId="36" w16cid:durableId="123543846">
    <w:abstractNumId w:val="22"/>
  </w:num>
  <w:num w:numId="37" w16cid:durableId="1882745554">
    <w:abstractNumId w:val="22"/>
  </w:num>
  <w:num w:numId="38" w16cid:durableId="1819222188">
    <w:abstractNumId w:val="22"/>
  </w:num>
  <w:num w:numId="39" w16cid:durableId="731201532">
    <w:abstractNumId w:val="10"/>
  </w:num>
  <w:num w:numId="40" w16cid:durableId="1425612133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62"/>
    <w:rsid w:val="00004C61"/>
    <w:rsid w:val="0000523F"/>
    <w:rsid w:val="000064E0"/>
    <w:rsid w:val="00010CC6"/>
    <w:rsid w:val="00010F60"/>
    <w:rsid w:val="00011B63"/>
    <w:rsid w:val="00016AF9"/>
    <w:rsid w:val="00020604"/>
    <w:rsid w:val="00020F77"/>
    <w:rsid w:val="00021F9B"/>
    <w:rsid w:val="0002356B"/>
    <w:rsid w:val="00025451"/>
    <w:rsid w:val="00026727"/>
    <w:rsid w:val="00027CD7"/>
    <w:rsid w:val="00032138"/>
    <w:rsid w:val="00032CAE"/>
    <w:rsid w:val="00034E3A"/>
    <w:rsid w:val="00036A56"/>
    <w:rsid w:val="00036E67"/>
    <w:rsid w:val="00037580"/>
    <w:rsid w:val="00037760"/>
    <w:rsid w:val="00040A7E"/>
    <w:rsid w:val="000413F2"/>
    <w:rsid w:val="00041FA8"/>
    <w:rsid w:val="0004253B"/>
    <w:rsid w:val="000426DA"/>
    <w:rsid w:val="000430A4"/>
    <w:rsid w:val="00044C9C"/>
    <w:rsid w:val="0004740D"/>
    <w:rsid w:val="00052344"/>
    <w:rsid w:val="00054072"/>
    <w:rsid w:val="0006016A"/>
    <w:rsid w:val="000607B3"/>
    <w:rsid w:val="000609C9"/>
    <w:rsid w:val="00060CBA"/>
    <w:rsid w:val="0006106E"/>
    <w:rsid w:val="00061354"/>
    <w:rsid w:val="000632BA"/>
    <w:rsid w:val="00063728"/>
    <w:rsid w:val="000642BE"/>
    <w:rsid w:val="00064E02"/>
    <w:rsid w:val="00065EEF"/>
    <w:rsid w:val="00066841"/>
    <w:rsid w:val="000714FD"/>
    <w:rsid w:val="00071FBB"/>
    <w:rsid w:val="0007268F"/>
    <w:rsid w:val="00072B13"/>
    <w:rsid w:val="00072DEF"/>
    <w:rsid w:val="000746D4"/>
    <w:rsid w:val="00075643"/>
    <w:rsid w:val="00077F2E"/>
    <w:rsid w:val="00080286"/>
    <w:rsid w:val="00083165"/>
    <w:rsid w:val="00083C3D"/>
    <w:rsid w:val="0008498A"/>
    <w:rsid w:val="00084BE4"/>
    <w:rsid w:val="00084F3A"/>
    <w:rsid w:val="00085CED"/>
    <w:rsid w:val="00090653"/>
    <w:rsid w:val="00091487"/>
    <w:rsid w:val="00092064"/>
    <w:rsid w:val="00092F74"/>
    <w:rsid w:val="00093C2C"/>
    <w:rsid w:val="00094729"/>
    <w:rsid w:val="000959FC"/>
    <w:rsid w:val="00096121"/>
    <w:rsid w:val="0009723E"/>
    <w:rsid w:val="000A00E5"/>
    <w:rsid w:val="000A01C7"/>
    <w:rsid w:val="000A099B"/>
    <w:rsid w:val="000A0A12"/>
    <w:rsid w:val="000A1C6D"/>
    <w:rsid w:val="000A2A7D"/>
    <w:rsid w:val="000A3AFF"/>
    <w:rsid w:val="000A4BF9"/>
    <w:rsid w:val="000A6F49"/>
    <w:rsid w:val="000B0EAD"/>
    <w:rsid w:val="000B3C9D"/>
    <w:rsid w:val="000B4288"/>
    <w:rsid w:val="000B6D49"/>
    <w:rsid w:val="000B71AE"/>
    <w:rsid w:val="000C0002"/>
    <w:rsid w:val="000C01AE"/>
    <w:rsid w:val="000C2256"/>
    <w:rsid w:val="000C371E"/>
    <w:rsid w:val="000D187B"/>
    <w:rsid w:val="000D6447"/>
    <w:rsid w:val="000D6A19"/>
    <w:rsid w:val="000D7791"/>
    <w:rsid w:val="000E266C"/>
    <w:rsid w:val="000E339C"/>
    <w:rsid w:val="000E48C4"/>
    <w:rsid w:val="000E6C57"/>
    <w:rsid w:val="000E7FA0"/>
    <w:rsid w:val="000F18DF"/>
    <w:rsid w:val="000F2A3E"/>
    <w:rsid w:val="000F442C"/>
    <w:rsid w:val="000F69E5"/>
    <w:rsid w:val="0010048C"/>
    <w:rsid w:val="001028E6"/>
    <w:rsid w:val="00102B6F"/>
    <w:rsid w:val="001037E6"/>
    <w:rsid w:val="0010395C"/>
    <w:rsid w:val="001068CA"/>
    <w:rsid w:val="00107424"/>
    <w:rsid w:val="00107EAF"/>
    <w:rsid w:val="00112C8A"/>
    <w:rsid w:val="0011357E"/>
    <w:rsid w:val="00114F5E"/>
    <w:rsid w:val="0011638F"/>
    <w:rsid w:val="00116CCD"/>
    <w:rsid w:val="0012089D"/>
    <w:rsid w:val="00123D45"/>
    <w:rsid w:val="00123DAE"/>
    <w:rsid w:val="00124203"/>
    <w:rsid w:val="00124697"/>
    <w:rsid w:val="001256AD"/>
    <w:rsid w:val="00126D70"/>
    <w:rsid w:val="001303D2"/>
    <w:rsid w:val="001344E4"/>
    <w:rsid w:val="001359F6"/>
    <w:rsid w:val="00135CE7"/>
    <w:rsid w:val="001417A5"/>
    <w:rsid w:val="00141D77"/>
    <w:rsid w:val="001450B6"/>
    <w:rsid w:val="00147182"/>
    <w:rsid w:val="00150577"/>
    <w:rsid w:val="00150B40"/>
    <w:rsid w:val="00150C52"/>
    <w:rsid w:val="00151283"/>
    <w:rsid w:val="0015258C"/>
    <w:rsid w:val="00152B24"/>
    <w:rsid w:val="00154528"/>
    <w:rsid w:val="00154B41"/>
    <w:rsid w:val="001555E0"/>
    <w:rsid w:val="0015564E"/>
    <w:rsid w:val="001558E5"/>
    <w:rsid w:val="00157152"/>
    <w:rsid w:val="001577DF"/>
    <w:rsid w:val="0016089E"/>
    <w:rsid w:val="00160EBD"/>
    <w:rsid w:val="00162646"/>
    <w:rsid w:val="001631DC"/>
    <w:rsid w:val="001637AF"/>
    <w:rsid w:val="00164FB1"/>
    <w:rsid w:val="00166014"/>
    <w:rsid w:val="00167781"/>
    <w:rsid w:val="0017245E"/>
    <w:rsid w:val="001743D2"/>
    <w:rsid w:val="00174892"/>
    <w:rsid w:val="001756B0"/>
    <w:rsid w:val="00176889"/>
    <w:rsid w:val="0017757A"/>
    <w:rsid w:val="001777EE"/>
    <w:rsid w:val="00183A87"/>
    <w:rsid w:val="00184160"/>
    <w:rsid w:val="0018606C"/>
    <w:rsid w:val="00193135"/>
    <w:rsid w:val="0019432E"/>
    <w:rsid w:val="00196791"/>
    <w:rsid w:val="001A29EB"/>
    <w:rsid w:val="001A3684"/>
    <w:rsid w:val="001A43D0"/>
    <w:rsid w:val="001A4E37"/>
    <w:rsid w:val="001B0799"/>
    <w:rsid w:val="001B27C1"/>
    <w:rsid w:val="001B2B0F"/>
    <w:rsid w:val="001B3D04"/>
    <w:rsid w:val="001B57AB"/>
    <w:rsid w:val="001B7549"/>
    <w:rsid w:val="001C0170"/>
    <w:rsid w:val="001C2F8C"/>
    <w:rsid w:val="001C5211"/>
    <w:rsid w:val="001C5BF9"/>
    <w:rsid w:val="001C70D5"/>
    <w:rsid w:val="001C710C"/>
    <w:rsid w:val="001D021C"/>
    <w:rsid w:val="001D034F"/>
    <w:rsid w:val="001D0C27"/>
    <w:rsid w:val="001D2F70"/>
    <w:rsid w:val="001D309E"/>
    <w:rsid w:val="001D428A"/>
    <w:rsid w:val="001D4710"/>
    <w:rsid w:val="001D6112"/>
    <w:rsid w:val="001E0996"/>
    <w:rsid w:val="001E0B17"/>
    <w:rsid w:val="001E2181"/>
    <w:rsid w:val="001E3AF9"/>
    <w:rsid w:val="001E439E"/>
    <w:rsid w:val="001E4DBF"/>
    <w:rsid w:val="001E58CC"/>
    <w:rsid w:val="001E7001"/>
    <w:rsid w:val="001F10A4"/>
    <w:rsid w:val="001F1647"/>
    <w:rsid w:val="001F1A84"/>
    <w:rsid w:val="001F1C97"/>
    <w:rsid w:val="001F55D9"/>
    <w:rsid w:val="001F5CE7"/>
    <w:rsid w:val="001F6B5A"/>
    <w:rsid w:val="002012C1"/>
    <w:rsid w:val="00204607"/>
    <w:rsid w:val="00205300"/>
    <w:rsid w:val="00206238"/>
    <w:rsid w:val="0020655E"/>
    <w:rsid w:val="0020691C"/>
    <w:rsid w:val="0021279C"/>
    <w:rsid w:val="002128ED"/>
    <w:rsid w:val="002133AD"/>
    <w:rsid w:val="002136E5"/>
    <w:rsid w:val="00220055"/>
    <w:rsid w:val="00220210"/>
    <w:rsid w:val="002216D5"/>
    <w:rsid w:val="002239F0"/>
    <w:rsid w:val="00224BE1"/>
    <w:rsid w:val="00225353"/>
    <w:rsid w:val="00225E89"/>
    <w:rsid w:val="00230B70"/>
    <w:rsid w:val="00234294"/>
    <w:rsid w:val="002421EB"/>
    <w:rsid w:val="002421F1"/>
    <w:rsid w:val="002422D8"/>
    <w:rsid w:val="00245277"/>
    <w:rsid w:val="002464FC"/>
    <w:rsid w:val="002523D6"/>
    <w:rsid w:val="002550E8"/>
    <w:rsid w:val="002607CA"/>
    <w:rsid w:val="00260D05"/>
    <w:rsid w:val="00261D56"/>
    <w:rsid w:val="0026272B"/>
    <w:rsid w:val="00262FF9"/>
    <w:rsid w:val="00263EF1"/>
    <w:rsid w:val="0026515C"/>
    <w:rsid w:val="00265B32"/>
    <w:rsid w:val="00267F42"/>
    <w:rsid w:val="002745A7"/>
    <w:rsid w:val="0027479F"/>
    <w:rsid w:val="00274E17"/>
    <w:rsid w:val="00275E13"/>
    <w:rsid w:val="00276F82"/>
    <w:rsid w:val="002772C6"/>
    <w:rsid w:val="00281C25"/>
    <w:rsid w:val="002827BA"/>
    <w:rsid w:val="00283D1E"/>
    <w:rsid w:val="002841C8"/>
    <w:rsid w:val="002844A3"/>
    <w:rsid w:val="00285E63"/>
    <w:rsid w:val="00285EDD"/>
    <w:rsid w:val="00287235"/>
    <w:rsid w:val="00292998"/>
    <w:rsid w:val="00293437"/>
    <w:rsid w:val="0029481D"/>
    <w:rsid w:val="00295FE2"/>
    <w:rsid w:val="00296D67"/>
    <w:rsid w:val="002A038B"/>
    <w:rsid w:val="002A1F8C"/>
    <w:rsid w:val="002A2B85"/>
    <w:rsid w:val="002A4884"/>
    <w:rsid w:val="002A5440"/>
    <w:rsid w:val="002A5C79"/>
    <w:rsid w:val="002A75A9"/>
    <w:rsid w:val="002A78B1"/>
    <w:rsid w:val="002B0B80"/>
    <w:rsid w:val="002B1934"/>
    <w:rsid w:val="002B2C15"/>
    <w:rsid w:val="002B32FF"/>
    <w:rsid w:val="002B3ACB"/>
    <w:rsid w:val="002B4571"/>
    <w:rsid w:val="002B6CEA"/>
    <w:rsid w:val="002C2636"/>
    <w:rsid w:val="002C3AEB"/>
    <w:rsid w:val="002D05D5"/>
    <w:rsid w:val="002D2FEE"/>
    <w:rsid w:val="002D37CA"/>
    <w:rsid w:val="002D6B4A"/>
    <w:rsid w:val="002D6C14"/>
    <w:rsid w:val="002D7402"/>
    <w:rsid w:val="002E07EC"/>
    <w:rsid w:val="002E16BE"/>
    <w:rsid w:val="002E21CB"/>
    <w:rsid w:val="002E532B"/>
    <w:rsid w:val="002E664C"/>
    <w:rsid w:val="002E6BAF"/>
    <w:rsid w:val="002F0F71"/>
    <w:rsid w:val="002F13DE"/>
    <w:rsid w:val="002F1811"/>
    <w:rsid w:val="002F24FF"/>
    <w:rsid w:val="002F300A"/>
    <w:rsid w:val="002F401E"/>
    <w:rsid w:val="002F622B"/>
    <w:rsid w:val="00303858"/>
    <w:rsid w:val="00305058"/>
    <w:rsid w:val="00305EC7"/>
    <w:rsid w:val="003060EF"/>
    <w:rsid w:val="00306DAE"/>
    <w:rsid w:val="00307449"/>
    <w:rsid w:val="003100A9"/>
    <w:rsid w:val="0031024F"/>
    <w:rsid w:val="00310745"/>
    <w:rsid w:val="003127CC"/>
    <w:rsid w:val="00312AAD"/>
    <w:rsid w:val="003141C9"/>
    <w:rsid w:val="003153F3"/>
    <w:rsid w:val="00320A77"/>
    <w:rsid w:val="00322344"/>
    <w:rsid w:val="003235E2"/>
    <w:rsid w:val="00325762"/>
    <w:rsid w:val="00327523"/>
    <w:rsid w:val="0033031C"/>
    <w:rsid w:val="003303E1"/>
    <w:rsid w:val="00331279"/>
    <w:rsid w:val="00333A56"/>
    <w:rsid w:val="00334653"/>
    <w:rsid w:val="003362B8"/>
    <w:rsid w:val="00340D44"/>
    <w:rsid w:val="00341536"/>
    <w:rsid w:val="00341F11"/>
    <w:rsid w:val="00342627"/>
    <w:rsid w:val="0034370F"/>
    <w:rsid w:val="003449EA"/>
    <w:rsid w:val="003470E8"/>
    <w:rsid w:val="00350828"/>
    <w:rsid w:val="003531D1"/>
    <w:rsid w:val="003532BF"/>
    <w:rsid w:val="003572A4"/>
    <w:rsid w:val="00357739"/>
    <w:rsid w:val="003600B6"/>
    <w:rsid w:val="00360DB4"/>
    <w:rsid w:val="0036186D"/>
    <w:rsid w:val="00362EF9"/>
    <w:rsid w:val="00363591"/>
    <w:rsid w:val="00363DF9"/>
    <w:rsid w:val="00364800"/>
    <w:rsid w:val="003674FB"/>
    <w:rsid w:val="003719C0"/>
    <w:rsid w:val="00371B1E"/>
    <w:rsid w:val="0037793C"/>
    <w:rsid w:val="00377D75"/>
    <w:rsid w:val="003806BF"/>
    <w:rsid w:val="00380ADB"/>
    <w:rsid w:val="00381EBE"/>
    <w:rsid w:val="00382B63"/>
    <w:rsid w:val="00385CBF"/>
    <w:rsid w:val="00385E65"/>
    <w:rsid w:val="0039015B"/>
    <w:rsid w:val="00392431"/>
    <w:rsid w:val="00393700"/>
    <w:rsid w:val="003947AE"/>
    <w:rsid w:val="00394F36"/>
    <w:rsid w:val="00397945"/>
    <w:rsid w:val="00397B1A"/>
    <w:rsid w:val="003A1CE9"/>
    <w:rsid w:val="003A24FB"/>
    <w:rsid w:val="003A3DC7"/>
    <w:rsid w:val="003A50D6"/>
    <w:rsid w:val="003A5570"/>
    <w:rsid w:val="003B175C"/>
    <w:rsid w:val="003B1AD4"/>
    <w:rsid w:val="003B1C30"/>
    <w:rsid w:val="003B25ED"/>
    <w:rsid w:val="003B2A10"/>
    <w:rsid w:val="003B30B4"/>
    <w:rsid w:val="003B3142"/>
    <w:rsid w:val="003B374A"/>
    <w:rsid w:val="003B69FF"/>
    <w:rsid w:val="003B6E39"/>
    <w:rsid w:val="003B7FA4"/>
    <w:rsid w:val="003C0176"/>
    <w:rsid w:val="003C0B63"/>
    <w:rsid w:val="003C325F"/>
    <w:rsid w:val="003C5F09"/>
    <w:rsid w:val="003C635D"/>
    <w:rsid w:val="003D0BDF"/>
    <w:rsid w:val="003D204E"/>
    <w:rsid w:val="003D5834"/>
    <w:rsid w:val="003D5A05"/>
    <w:rsid w:val="003D5F02"/>
    <w:rsid w:val="003D6CD5"/>
    <w:rsid w:val="003D6E20"/>
    <w:rsid w:val="003E05DC"/>
    <w:rsid w:val="003E143D"/>
    <w:rsid w:val="003E1832"/>
    <w:rsid w:val="003E29BA"/>
    <w:rsid w:val="003E2BFE"/>
    <w:rsid w:val="003E2DC9"/>
    <w:rsid w:val="003E6862"/>
    <w:rsid w:val="003E716E"/>
    <w:rsid w:val="003E7284"/>
    <w:rsid w:val="003E791A"/>
    <w:rsid w:val="003F0B2C"/>
    <w:rsid w:val="003F1EC1"/>
    <w:rsid w:val="003F3C88"/>
    <w:rsid w:val="003F52A3"/>
    <w:rsid w:val="003F5402"/>
    <w:rsid w:val="003F5C2A"/>
    <w:rsid w:val="003F5C57"/>
    <w:rsid w:val="003F7D13"/>
    <w:rsid w:val="00400392"/>
    <w:rsid w:val="004045BD"/>
    <w:rsid w:val="00405437"/>
    <w:rsid w:val="004126A8"/>
    <w:rsid w:val="004136EC"/>
    <w:rsid w:val="00413A92"/>
    <w:rsid w:val="004142CD"/>
    <w:rsid w:val="0042087D"/>
    <w:rsid w:val="0042289D"/>
    <w:rsid w:val="00423DB0"/>
    <w:rsid w:val="004247BB"/>
    <w:rsid w:val="0042536D"/>
    <w:rsid w:val="00425A62"/>
    <w:rsid w:val="004263EE"/>
    <w:rsid w:val="00426635"/>
    <w:rsid w:val="00427131"/>
    <w:rsid w:val="00431D8F"/>
    <w:rsid w:val="00432E1C"/>
    <w:rsid w:val="0043355D"/>
    <w:rsid w:val="00435C22"/>
    <w:rsid w:val="004407EE"/>
    <w:rsid w:val="00441651"/>
    <w:rsid w:val="0044185C"/>
    <w:rsid w:val="00441B78"/>
    <w:rsid w:val="004434AD"/>
    <w:rsid w:val="00443527"/>
    <w:rsid w:val="0044672A"/>
    <w:rsid w:val="00451426"/>
    <w:rsid w:val="00451694"/>
    <w:rsid w:val="00451940"/>
    <w:rsid w:val="00454A8A"/>
    <w:rsid w:val="00455A62"/>
    <w:rsid w:val="004567BF"/>
    <w:rsid w:val="0045799D"/>
    <w:rsid w:val="00460103"/>
    <w:rsid w:val="004607AD"/>
    <w:rsid w:val="00463D9A"/>
    <w:rsid w:val="00463DE5"/>
    <w:rsid w:val="00464260"/>
    <w:rsid w:val="0046428B"/>
    <w:rsid w:val="00465428"/>
    <w:rsid w:val="00466E9A"/>
    <w:rsid w:val="004765EF"/>
    <w:rsid w:val="00476C70"/>
    <w:rsid w:val="00483CF5"/>
    <w:rsid w:val="004866AE"/>
    <w:rsid w:val="004900CF"/>
    <w:rsid w:val="004902B3"/>
    <w:rsid w:val="00490718"/>
    <w:rsid w:val="00491D93"/>
    <w:rsid w:val="0049210A"/>
    <w:rsid w:val="0049305E"/>
    <w:rsid w:val="004931C0"/>
    <w:rsid w:val="004931C5"/>
    <w:rsid w:val="00494268"/>
    <w:rsid w:val="00494C23"/>
    <w:rsid w:val="00494DC2"/>
    <w:rsid w:val="004962A5"/>
    <w:rsid w:val="00496AE5"/>
    <w:rsid w:val="004A08E8"/>
    <w:rsid w:val="004A173D"/>
    <w:rsid w:val="004A1D65"/>
    <w:rsid w:val="004A27EC"/>
    <w:rsid w:val="004A2830"/>
    <w:rsid w:val="004A7A78"/>
    <w:rsid w:val="004B29D9"/>
    <w:rsid w:val="004B5888"/>
    <w:rsid w:val="004B6354"/>
    <w:rsid w:val="004B6574"/>
    <w:rsid w:val="004C0D15"/>
    <w:rsid w:val="004C12A8"/>
    <w:rsid w:val="004C1B39"/>
    <w:rsid w:val="004C2C53"/>
    <w:rsid w:val="004C4A00"/>
    <w:rsid w:val="004C4EFD"/>
    <w:rsid w:val="004C530D"/>
    <w:rsid w:val="004C7490"/>
    <w:rsid w:val="004D0759"/>
    <w:rsid w:val="004D2CD8"/>
    <w:rsid w:val="004D404C"/>
    <w:rsid w:val="004E1F13"/>
    <w:rsid w:val="004E63FA"/>
    <w:rsid w:val="004E69B8"/>
    <w:rsid w:val="004E7250"/>
    <w:rsid w:val="004E73B4"/>
    <w:rsid w:val="004E73BE"/>
    <w:rsid w:val="004F0F0B"/>
    <w:rsid w:val="004F2F46"/>
    <w:rsid w:val="004F3EC3"/>
    <w:rsid w:val="004F5239"/>
    <w:rsid w:val="004F73A1"/>
    <w:rsid w:val="004F778F"/>
    <w:rsid w:val="00501441"/>
    <w:rsid w:val="00501AC1"/>
    <w:rsid w:val="00504663"/>
    <w:rsid w:val="0051021C"/>
    <w:rsid w:val="005119B5"/>
    <w:rsid w:val="00512387"/>
    <w:rsid w:val="0051495A"/>
    <w:rsid w:val="00517154"/>
    <w:rsid w:val="005246AB"/>
    <w:rsid w:val="00524FE4"/>
    <w:rsid w:val="00525E10"/>
    <w:rsid w:val="00530AC4"/>
    <w:rsid w:val="00531265"/>
    <w:rsid w:val="00531A1B"/>
    <w:rsid w:val="00532EC6"/>
    <w:rsid w:val="0053478F"/>
    <w:rsid w:val="00536549"/>
    <w:rsid w:val="005370C1"/>
    <w:rsid w:val="0054074B"/>
    <w:rsid w:val="005433B7"/>
    <w:rsid w:val="00543753"/>
    <w:rsid w:val="00543B15"/>
    <w:rsid w:val="0054411D"/>
    <w:rsid w:val="00544ECA"/>
    <w:rsid w:val="005453F4"/>
    <w:rsid w:val="0054674F"/>
    <w:rsid w:val="005518B1"/>
    <w:rsid w:val="00551AAF"/>
    <w:rsid w:val="005525A5"/>
    <w:rsid w:val="00552EBD"/>
    <w:rsid w:val="00553672"/>
    <w:rsid w:val="00553C87"/>
    <w:rsid w:val="005563CA"/>
    <w:rsid w:val="00557754"/>
    <w:rsid w:val="00560E38"/>
    <w:rsid w:val="00560ED9"/>
    <w:rsid w:val="0056284C"/>
    <w:rsid w:val="0056290E"/>
    <w:rsid w:val="00563BB2"/>
    <w:rsid w:val="00564871"/>
    <w:rsid w:val="00565305"/>
    <w:rsid w:val="00565432"/>
    <w:rsid w:val="0056715B"/>
    <w:rsid w:val="00570E65"/>
    <w:rsid w:val="00571E8D"/>
    <w:rsid w:val="00573901"/>
    <w:rsid w:val="00574C97"/>
    <w:rsid w:val="00575548"/>
    <w:rsid w:val="00577EC4"/>
    <w:rsid w:val="00581FD3"/>
    <w:rsid w:val="005848C0"/>
    <w:rsid w:val="00587393"/>
    <w:rsid w:val="00590232"/>
    <w:rsid w:val="0059093F"/>
    <w:rsid w:val="00590FFA"/>
    <w:rsid w:val="0059166B"/>
    <w:rsid w:val="00593066"/>
    <w:rsid w:val="00593777"/>
    <w:rsid w:val="0059481F"/>
    <w:rsid w:val="00594F2F"/>
    <w:rsid w:val="00595337"/>
    <w:rsid w:val="00597417"/>
    <w:rsid w:val="005A0179"/>
    <w:rsid w:val="005A3061"/>
    <w:rsid w:val="005A403B"/>
    <w:rsid w:val="005A43BB"/>
    <w:rsid w:val="005A5FBF"/>
    <w:rsid w:val="005A710A"/>
    <w:rsid w:val="005B0849"/>
    <w:rsid w:val="005B2535"/>
    <w:rsid w:val="005B32DF"/>
    <w:rsid w:val="005B390A"/>
    <w:rsid w:val="005B4EDB"/>
    <w:rsid w:val="005B6AF9"/>
    <w:rsid w:val="005C1559"/>
    <w:rsid w:val="005C2019"/>
    <w:rsid w:val="005C2042"/>
    <w:rsid w:val="005C2833"/>
    <w:rsid w:val="005C3D60"/>
    <w:rsid w:val="005C668D"/>
    <w:rsid w:val="005C759A"/>
    <w:rsid w:val="005C78F6"/>
    <w:rsid w:val="005D1203"/>
    <w:rsid w:val="005D19BE"/>
    <w:rsid w:val="005D1F3C"/>
    <w:rsid w:val="005D5921"/>
    <w:rsid w:val="005D61BA"/>
    <w:rsid w:val="005D6DB9"/>
    <w:rsid w:val="005D752A"/>
    <w:rsid w:val="005D766F"/>
    <w:rsid w:val="005D77EF"/>
    <w:rsid w:val="005E012B"/>
    <w:rsid w:val="005E14F0"/>
    <w:rsid w:val="005E182D"/>
    <w:rsid w:val="005E2B4C"/>
    <w:rsid w:val="005E3825"/>
    <w:rsid w:val="005E47CC"/>
    <w:rsid w:val="005E51AC"/>
    <w:rsid w:val="005E5E6A"/>
    <w:rsid w:val="005E6100"/>
    <w:rsid w:val="005E6EBB"/>
    <w:rsid w:val="005E7F78"/>
    <w:rsid w:val="005F1CBB"/>
    <w:rsid w:val="005F381F"/>
    <w:rsid w:val="005F448E"/>
    <w:rsid w:val="005F6F18"/>
    <w:rsid w:val="005F7F48"/>
    <w:rsid w:val="006007BC"/>
    <w:rsid w:val="006007C2"/>
    <w:rsid w:val="0060143A"/>
    <w:rsid w:val="00601BB1"/>
    <w:rsid w:val="00605870"/>
    <w:rsid w:val="00606070"/>
    <w:rsid w:val="00611C4E"/>
    <w:rsid w:val="0061231D"/>
    <w:rsid w:val="006125EA"/>
    <w:rsid w:val="00612673"/>
    <w:rsid w:val="006166C3"/>
    <w:rsid w:val="00616E3D"/>
    <w:rsid w:val="00620278"/>
    <w:rsid w:val="00620795"/>
    <w:rsid w:val="00622D02"/>
    <w:rsid w:val="00623156"/>
    <w:rsid w:val="0062330D"/>
    <w:rsid w:val="006233FF"/>
    <w:rsid w:val="006244B7"/>
    <w:rsid w:val="00624AA5"/>
    <w:rsid w:val="0062573F"/>
    <w:rsid w:val="00627F62"/>
    <w:rsid w:val="006346C4"/>
    <w:rsid w:val="00634B0F"/>
    <w:rsid w:val="00634EB5"/>
    <w:rsid w:val="0063516A"/>
    <w:rsid w:val="0064084C"/>
    <w:rsid w:val="006414F7"/>
    <w:rsid w:val="00642240"/>
    <w:rsid w:val="0064435E"/>
    <w:rsid w:val="00647D29"/>
    <w:rsid w:val="0065066C"/>
    <w:rsid w:val="00650823"/>
    <w:rsid w:val="0065106E"/>
    <w:rsid w:val="0065172E"/>
    <w:rsid w:val="00652A3E"/>
    <w:rsid w:val="00652A4B"/>
    <w:rsid w:val="00652C8C"/>
    <w:rsid w:val="00653A3D"/>
    <w:rsid w:val="0065571C"/>
    <w:rsid w:val="0065621E"/>
    <w:rsid w:val="00656D33"/>
    <w:rsid w:val="00661616"/>
    <w:rsid w:val="006633B0"/>
    <w:rsid w:val="00665C6F"/>
    <w:rsid w:val="006678CB"/>
    <w:rsid w:val="00667B61"/>
    <w:rsid w:val="006716B1"/>
    <w:rsid w:val="00674124"/>
    <w:rsid w:val="00675686"/>
    <w:rsid w:val="00680B80"/>
    <w:rsid w:val="006825D8"/>
    <w:rsid w:val="00682F6D"/>
    <w:rsid w:val="00686248"/>
    <w:rsid w:val="00687096"/>
    <w:rsid w:val="00687AF8"/>
    <w:rsid w:val="00690466"/>
    <w:rsid w:val="006904F3"/>
    <w:rsid w:val="00690534"/>
    <w:rsid w:val="00691414"/>
    <w:rsid w:val="00691F9C"/>
    <w:rsid w:val="0069420C"/>
    <w:rsid w:val="006966F8"/>
    <w:rsid w:val="006970FE"/>
    <w:rsid w:val="006971A4"/>
    <w:rsid w:val="006A0011"/>
    <w:rsid w:val="006A0B29"/>
    <w:rsid w:val="006A0FF7"/>
    <w:rsid w:val="006A20E0"/>
    <w:rsid w:val="006A7216"/>
    <w:rsid w:val="006A7C9A"/>
    <w:rsid w:val="006A7E48"/>
    <w:rsid w:val="006B1014"/>
    <w:rsid w:val="006B2254"/>
    <w:rsid w:val="006B2FA0"/>
    <w:rsid w:val="006B4B16"/>
    <w:rsid w:val="006B65FC"/>
    <w:rsid w:val="006B7055"/>
    <w:rsid w:val="006C084E"/>
    <w:rsid w:val="006C12B2"/>
    <w:rsid w:val="006C2B4B"/>
    <w:rsid w:val="006C35A3"/>
    <w:rsid w:val="006C3797"/>
    <w:rsid w:val="006C3DC5"/>
    <w:rsid w:val="006C5116"/>
    <w:rsid w:val="006C51EF"/>
    <w:rsid w:val="006C67DD"/>
    <w:rsid w:val="006C69CF"/>
    <w:rsid w:val="006C7B30"/>
    <w:rsid w:val="006D1D78"/>
    <w:rsid w:val="006D7D82"/>
    <w:rsid w:val="006E0465"/>
    <w:rsid w:val="006E117C"/>
    <w:rsid w:val="006E1288"/>
    <w:rsid w:val="006E263E"/>
    <w:rsid w:val="006E3FCC"/>
    <w:rsid w:val="006E4DEC"/>
    <w:rsid w:val="006E6C92"/>
    <w:rsid w:val="006E6DB9"/>
    <w:rsid w:val="006E6E37"/>
    <w:rsid w:val="006F2390"/>
    <w:rsid w:val="006F3B67"/>
    <w:rsid w:val="006F3C58"/>
    <w:rsid w:val="006F4BA9"/>
    <w:rsid w:val="006F52AE"/>
    <w:rsid w:val="006F532D"/>
    <w:rsid w:val="00700C8B"/>
    <w:rsid w:val="0070191A"/>
    <w:rsid w:val="007144B8"/>
    <w:rsid w:val="0071520C"/>
    <w:rsid w:val="0071607F"/>
    <w:rsid w:val="007167AD"/>
    <w:rsid w:val="007169B5"/>
    <w:rsid w:val="00720765"/>
    <w:rsid w:val="00722A30"/>
    <w:rsid w:val="00722D36"/>
    <w:rsid w:val="00724B4E"/>
    <w:rsid w:val="00724DAD"/>
    <w:rsid w:val="00725E13"/>
    <w:rsid w:val="00727118"/>
    <w:rsid w:val="00732260"/>
    <w:rsid w:val="00732AAA"/>
    <w:rsid w:val="00735E06"/>
    <w:rsid w:val="00740452"/>
    <w:rsid w:val="00742463"/>
    <w:rsid w:val="0074261B"/>
    <w:rsid w:val="00742B91"/>
    <w:rsid w:val="00742DBF"/>
    <w:rsid w:val="007479F2"/>
    <w:rsid w:val="00760002"/>
    <w:rsid w:val="00761BAF"/>
    <w:rsid w:val="0076227D"/>
    <w:rsid w:val="007630B7"/>
    <w:rsid w:val="0076397F"/>
    <w:rsid w:val="00765225"/>
    <w:rsid w:val="00765440"/>
    <w:rsid w:val="00765E20"/>
    <w:rsid w:val="007675EB"/>
    <w:rsid w:val="00770AE3"/>
    <w:rsid w:val="00770DB6"/>
    <w:rsid w:val="00771436"/>
    <w:rsid w:val="00771851"/>
    <w:rsid w:val="00771A74"/>
    <w:rsid w:val="00771D05"/>
    <w:rsid w:val="007805F3"/>
    <w:rsid w:val="00784EAA"/>
    <w:rsid w:val="00784F7A"/>
    <w:rsid w:val="00786382"/>
    <w:rsid w:val="0078670E"/>
    <w:rsid w:val="00786DCA"/>
    <w:rsid w:val="007906CE"/>
    <w:rsid w:val="0079165A"/>
    <w:rsid w:val="00791D0D"/>
    <w:rsid w:val="00791F2F"/>
    <w:rsid w:val="00792FDB"/>
    <w:rsid w:val="00797A7D"/>
    <w:rsid w:val="007A0325"/>
    <w:rsid w:val="007A0ADE"/>
    <w:rsid w:val="007A1034"/>
    <w:rsid w:val="007A3550"/>
    <w:rsid w:val="007B0A12"/>
    <w:rsid w:val="007B1F9A"/>
    <w:rsid w:val="007B1FE5"/>
    <w:rsid w:val="007B2DCD"/>
    <w:rsid w:val="007B40EB"/>
    <w:rsid w:val="007B443E"/>
    <w:rsid w:val="007C00D2"/>
    <w:rsid w:val="007C064A"/>
    <w:rsid w:val="007C1675"/>
    <w:rsid w:val="007C17A2"/>
    <w:rsid w:val="007C2992"/>
    <w:rsid w:val="007C4302"/>
    <w:rsid w:val="007D24DB"/>
    <w:rsid w:val="007D3360"/>
    <w:rsid w:val="007D564C"/>
    <w:rsid w:val="007E0E5F"/>
    <w:rsid w:val="007E3F34"/>
    <w:rsid w:val="007E7F19"/>
    <w:rsid w:val="007F154C"/>
    <w:rsid w:val="007F2A22"/>
    <w:rsid w:val="007F2F9A"/>
    <w:rsid w:val="007F3733"/>
    <w:rsid w:val="007F3FF4"/>
    <w:rsid w:val="007F562E"/>
    <w:rsid w:val="007F7946"/>
    <w:rsid w:val="007F79F6"/>
    <w:rsid w:val="0080261D"/>
    <w:rsid w:val="00806260"/>
    <w:rsid w:val="00806635"/>
    <w:rsid w:val="0081184E"/>
    <w:rsid w:val="00815BD5"/>
    <w:rsid w:val="008179B1"/>
    <w:rsid w:val="008200B1"/>
    <w:rsid w:val="00822C5E"/>
    <w:rsid w:val="00823168"/>
    <w:rsid w:val="00823DFE"/>
    <w:rsid w:val="00823FD3"/>
    <w:rsid w:val="0082597B"/>
    <w:rsid w:val="00825CEB"/>
    <w:rsid w:val="00834C84"/>
    <w:rsid w:val="008352EB"/>
    <w:rsid w:val="00835A40"/>
    <w:rsid w:val="008361C7"/>
    <w:rsid w:val="008428BB"/>
    <w:rsid w:val="00842D9D"/>
    <w:rsid w:val="0085017A"/>
    <w:rsid w:val="00851235"/>
    <w:rsid w:val="0085277E"/>
    <w:rsid w:val="008542C0"/>
    <w:rsid w:val="00854C2D"/>
    <w:rsid w:val="008569CC"/>
    <w:rsid w:val="00857B3A"/>
    <w:rsid w:val="0086074B"/>
    <w:rsid w:val="00861C3E"/>
    <w:rsid w:val="00863324"/>
    <w:rsid w:val="00864BCF"/>
    <w:rsid w:val="00864DFC"/>
    <w:rsid w:val="00865004"/>
    <w:rsid w:val="0086631C"/>
    <w:rsid w:val="00866482"/>
    <w:rsid w:val="00870816"/>
    <w:rsid w:val="00870BDB"/>
    <w:rsid w:val="0087271B"/>
    <w:rsid w:val="00872F48"/>
    <w:rsid w:val="008736DE"/>
    <w:rsid w:val="00873956"/>
    <w:rsid w:val="00874438"/>
    <w:rsid w:val="00876356"/>
    <w:rsid w:val="0087706F"/>
    <w:rsid w:val="00880656"/>
    <w:rsid w:val="0088144C"/>
    <w:rsid w:val="0088223F"/>
    <w:rsid w:val="00884545"/>
    <w:rsid w:val="0088503D"/>
    <w:rsid w:val="008879F0"/>
    <w:rsid w:val="00890E96"/>
    <w:rsid w:val="00892B1D"/>
    <w:rsid w:val="00892FCA"/>
    <w:rsid w:val="008A07D9"/>
    <w:rsid w:val="008A0823"/>
    <w:rsid w:val="008A48CC"/>
    <w:rsid w:val="008A6138"/>
    <w:rsid w:val="008B057E"/>
    <w:rsid w:val="008B0603"/>
    <w:rsid w:val="008B1D2D"/>
    <w:rsid w:val="008B5574"/>
    <w:rsid w:val="008B64AE"/>
    <w:rsid w:val="008B774C"/>
    <w:rsid w:val="008C2190"/>
    <w:rsid w:val="008C23DC"/>
    <w:rsid w:val="008C2693"/>
    <w:rsid w:val="008C37FC"/>
    <w:rsid w:val="008C4719"/>
    <w:rsid w:val="008C5C80"/>
    <w:rsid w:val="008D11DD"/>
    <w:rsid w:val="008D1CDA"/>
    <w:rsid w:val="008D2213"/>
    <w:rsid w:val="008D2A18"/>
    <w:rsid w:val="008D3F03"/>
    <w:rsid w:val="008D3FF6"/>
    <w:rsid w:val="008D4F11"/>
    <w:rsid w:val="008D5227"/>
    <w:rsid w:val="008D52DE"/>
    <w:rsid w:val="008D62A1"/>
    <w:rsid w:val="008E262B"/>
    <w:rsid w:val="008E2B07"/>
    <w:rsid w:val="008E3190"/>
    <w:rsid w:val="008E4AE2"/>
    <w:rsid w:val="008E7A3F"/>
    <w:rsid w:val="008E7C17"/>
    <w:rsid w:val="008F222D"/>
    <w:rsid w:val="008F2580"/>
    <w:rsid w:val="008F3408"/>
    <w:rsid w:val="008F34F6"/>
    <w:rsid w:val="008F4E38"/>
    <w:rsid w:val="008F698F"/>
    <w:rsid w:val="008F77BE"/>
    <w:rsid w:val="009004AA"/>
    <w:rsid w:val="0090050A"/>
    <w:rsid w:val="00901646"/>
    <w:rsid w:val="00901A32"/>
    <w:rsid w:val="00903C4E"/>
    <w:rsid w:val="00903D78"/>
    <w:rsid w:val="00904F96"/>
    <w:rsid w:val="00905452"/>
    <w:rsid w:val="00906A1F"/>
    <w:rsid w:val="0091368B"/>
    <w:rsid w:val="00914D04"/>
    <w:rsid w:val="00915488"/>
    <w:rsid w:val="00917288"/>
    <w:rsid w:val="00921C8E"/>
    <w:rsid w:val="0092242B"/>
    <w:rsid w:val="00923697"/>
    <w:rsid w:val="00923E08"/>
    <w:rsid w:val="00924C29"/>
    <w:rsid w:val="00925290"/>
    <w:rsid w:val="009277A2"/>
    <w:rsid w:val="009309DA"/>
    <w:rsid w:val="00931615"/>
    <w:rsid w:val="00932130"/>
    <w:rsid w:val="00932B6C"/>
    <w:rsid w:val="00934D5E"/>
    <w:rsid w:val="00935F5F"/>
    <w:rsid w:val="009405EF"/>
    <w:rsid w:val="009411FC"/>
    <w:rsid w:val="00943403"/>
    <w:rsid w:val="009462E6"/>
    <w:rsid w:val="009468E6"/>
    <w:rsid w:val="00946F10"/>
    <w:rsid w:val="009501B0"/>
    <w:rsid w:val="00951001"/>
    <w:rsid w:val="00951130"/>
    <w:rsid w:val="0095174F"/>
    <w:rsid w:val="00953DAD"/>
    <w:rsid w:val="00956550"/>
    <w:rsid w:val="009567DB"/>
    <w:rsid w:val="009579D7"/>
    <w:rsid w:val="00963AE1"/>
    <w:rsid w:val="00965433"/>
    <w:rsid w:val="009664E2"/>
    <w:rsid w:val="00970E20"/>
    <w:rsid w:val="00972167"/>
    <w:rsid w:val="00973277"/>
    <w:rsid w:val="00975025"/>
    <w:rsid w:val="00975842"/>
    <w:rsid w:val="00975A2E"/>
    <w:rsid w:val="009763EE"/>
    <w:rsid w:val="00977B02"/>
    <w:rsid w:val="009836F5"/>
    <w:rsid w:val="00983CB7"/>
    <w:rsid w:val="00985C93"/>
    <w:rsid w:val="009865D1"/>
    <w:rsid w:val="009902A2"/>
    <w:rsid w:val="00993CB6"/>
    <w:rsid w:val="00996077"/>
    <w:rsid w:val="009961B6"/>
    <w:rsid w:val="00996620"/>
    <w:rsid w:val="00996F49"/>
    <w:rsid w:val="0099763F"/>
    <w:rsid w:val="009976F2"/>
    <w:rsid w:val="00997843"/>
    <w:rsid w:val="00997875"/>
    <w:rsid w:val="00997A05"/>
    <w:rsid w:val="009A0359"/>
    <w:rsid w:val="009A16DB"/>
    <w:rsid w:val="009A38DD"/>
    <w:rsid w:val="009A540D"/>
    <w:rsid w:val="009A5411"/>
    <w:rsid w:val="009A65C3"/>
    <w:rsid w:val="009A7918"/>
    <w:rsid w:val="009B167A"/>
    <w:rsid w:val="009B1BB3"/>
    <w:rsid w:val="009B1D90"/>
    <w:rsid w:val="009B333E"/>
    <w:rsid w:val="009B4836"/>
    <w:rsid w:val="009C1115"/>
    <w:rsid w:val="009C1BAD"/>
    <w:rsid w:val="009C20FE"/>
    <w:rsid w:val="009C2D3A"/>
    <w:rsid w:val="009C5750"/>
    <w:rsid w:val="009C6E0F"/>
    <w:rsid w:val="009C7196"/>
    <w:rsid w:val="009C7A51"/>
    <w:rsid w:val="009D17D1"/>
    <w:rsid w:val="009D1A2D"/>
    <w:rsid w:val="009D1F75"/>
    <w:rsid w:val="009D5D8D"/>
    <w:rsid w:val="009D7365"/>
    <w:rsid w:val="009D7C5E"/>
    <w:rsid w:val="009E0A03"/>
    <w:rsid w:val="009E0ED8"/>
    <w:rsid w:val="009E1C4D"/>
    <w:rsid w:val="009E6474"/>
    <w:rsid w:val="009E7653"/>
    <w:rsid w:val="009F10F7"/>
    <w:rsid w:val="009F1170"/>
    <w:rsid w:val="009F27F5"/>
    <w:rsid w:val="009F4712"/>
    <w:rsid w:val="009F5411"/>
    <w:rsid w:val="009F5B34"/>
    <w:rsid w:val="009F76BB"/>
    <w:rsid w:val="00A00297"/>
    <w:rsid w:val="00A017EB"/>
    <w:rsid w:val="00A03039"/>
    <w:rsid w:val="00A0424B"/>
    <w:rsid w:val="00A04A4D"/>
    <w:rsid w:val="00A04FAC"/>
    <w:rsid w:val="00A05AEE"/>
    <w:rsid w:val="00A066B3"/>
    <w:rsid w:val="00A12CD4"/>
    <w:rsid w:val="00A168AE"/>
    <w:rsid w:val="00A169AC"/>
    <w:rsid w:val="00A16D0B"/>
    <w:rsid w:val="00A179FF"/>
    <w:rsid w:val="00A17B4F"/>
    <w:rsid w:val="00A30B68"/>
    <w:rsid w:val="00A314B7"/>
    <w:rsid w:val="00A31F67"/>
    <w:rsid w:val="00A32B83"/>
    <w:rsid w:val="00A33B6A"/>
    <w:rsid w:val="00A35103"/>
    <w:rsid w:val="00A3545A"/>
    <w:rsid w:val="00A3559B"/>
    <w:rsid w:val="00A36F9B"/>
    <w:rsid w:val="00A426DB"/>
    <w:rsid w:val="00A426DF"/>
    <w:rsid w:val="00A4774D"/>
    <w:rsid w:val="00A52AD5"/>
    <w:rsid w:val="00A562D5"/>
    <w:rsid w:val="00A60232"/>
    <w:rsid w:val="00A61BF7"/>
    <w:rsid w:val="00A61FED"/>
    <w:rsid w:val="00A64D6B"/>
    <w:rsid w:val="00A656E4"/>
    <w:rsid w:val="00A65BCF"/>
    <w:rsid w:val="00A65BDE"/>
    <w:rsid w:val="00A6693C"/>
    <w:rsid w:val="00A67D6D"/>
    <w:rsid w:val="00A70645"/>
    <w:rsid w:val="00A712E0"/>
    <w:rsid w:val="00A74168"/>
    <w:rsid w:val="00A75D8D"/>
    <w:rsid w:val="00A76748"/>
    <w:rsid w:val="00A773ED"/>
    <w:rsid w:val="00A82249"/>
    <w:rsid w:val="00A87689"/>
    <w:rsid w:val="00A879DF"/>
    <w:rsid w:val="00A92AED"/>
    <w:rsid w:val="00A92C8D"/>
    <w:rsid w:val="00A934E5"/>
    <w:rsid w:val="00A947DC"/>
    <w:rsid w:val="00A948A3"/>
    <w:rsid w:val="00A967EF"/>
    <w:rsid w:val="00A97A28"/>
    <w:rsid w:val="00AA0DC1"/>
    <w:rsid w:val="00AA161B"/>
    <w:rsid w:val="00AA1AD6"/>
    <w:rsid w:val="00AA439D"/>
    <w:rsid w:val="00AA4C62"/>
    <w:rsid w:val="00AA4C94"/>
    <w:rsid w:val="00AA503F"/>
    <w:rsid w:val="00AA6487"/>
    <w:rsid w:val="00AB0E49"/>
    <w:rsid w:val="00AB24EC"/>
    <w:rsid w:val="00AB6F61"/>
    <w:rsid w:val="00AB789E"/>
    <w:rsid w:val="00AB7C1F"/>
    <w:rsid w:val="00AC1CEE"/>
    <w:rsid w:val="00AC1E41"/>
    <w:rsid w:val="00AC1F5C"/>
    <w:rsid w:val="00AC3216"/>
    <w:rsid w:val="00AC4B69"/>
    <w:rsid w:val="00AC4FA6"/>
    <w:rsid w:val="00AC604A"/>
    <w:rsid w:val="00AC6A7F"/>
    <w:rsid w:val="00AC73D7"/>
    <w:rsid w:val="00AC73E3"/>
    <w:rsid w:val="00AC7599"/>
    <w:rsid w:val="00AD17CB"/>
    <w:rsid w:val="00AD2E4A"/>
    <w:rsid w:val="00AD3F7D"/>
    <w:rsid w:val="00AE1F7E"/>
    <w:rsid w:val="00AE2DE2"/>
    <w:rsid w:val="00AE4528"/>
    <w:rsid w:val="00AE4BB7"/>
    <w:rsid w:val="00AE5500"/>
    <w:rsid w:val="00AE5B2A"/>
    <w:rsid w:val="00AE5F1F"/>
    <w:rsid w:val="00AE608E"/>
    <w:rsid w:val="00AE7141"/>
    <w:rsid w:val="00AE7268"/>
    <w:rsid w:val="00AF03A5"/>
    <w:rsid w:val="00AF1613"/>
    <w:rsid w:val="00AF2837"/>
    <w:rsid w:val="00AF5E13"/>
    <w:rsid w:val="00AF6667"/>
    <w:rsid w:val="00B00F64"/>
    <w:rsid w:val="00B03EEE"/>
    <w:rsid w:val="00B04298"/>
    <w:rsid w:val="00B04AF3"/>
    <w:rsid w:val="00B04DF9"/>
    <w:rsid w:val="00B0520C"/>
    <w:rsid w:val="00B1199D"/>
    <w:rsid w:val="00B13F03"/>
    <w:rsid w:val="00B16011"/>
    <w:rsid w:val="00B203C6"/>
    <w:rsid w:val="00B224EF"/>
    <w:rsid w:val="00B22AA5"/>
    <w:rsid w:val="00B22E62"/>
    <w:rsid w:val="00B231F2"/>
    <w:rsid w:val="00B23491"/>
    <w:rsid w:val="00B24163"/>
    <w:rsid w:val="00B2491F"/>
    <w:rsid w:val="00B268A6"/>
    <w:rsid w:val="00B30338"/>
    <w:rsid w:val="00B309F0"/>
    <w:rsid w:val="00B3129B"/>
    <w:rsid w:val="00B32F96"/>
    <w:rsid w:val="00B34578"/>
    <w:rsid w:val="00B37BC7"/>
    <w:rsid w:val="00B41877"/>
    <w:rsid w:val="00B429E3"/>
    <w:rsid w:val="00B442F0"/>
    <w:rsid w:val="00B44AC1"/>
    <w:rsid w:val="00B46D2D"/>
    <w:rsid w:val="00B47134"/>
    <w:rsid w:val="00B47214"/>
    <w:rsid w:val="00B477B2"/>
    <w:rsid w:val="00B47AFC"/>
    <w:rsid w:val="00B504E7"/>
    <w:rsid w:val="00B50828"/>
    <w:rsid w:val="00B54789"/>
    <w:rsid w:val="00B54FD8"/>
    <w:rsid w:val="00B55261"/>
    <w:rsid w:val="00B569B8"/>
    <w:rsid w:val="00B60E0F"/>
    <w:rsid w:val="00B6195C"/>
    <w:rsid w:val="00B6380F"/>
    <w:rsid w:val="00B65A1C"/>
    <w:rsid w:val="00B66C86"/>
    <w:rsid w:val="00B67151"/>
    <w:rsid w:val="00B708D9"/>
    <w:rsid w:val="00B70F29"/>
    <w:rsid w:val="00B70F95"/>
    <w:rsid w:val="00B71750"/>
    <w:rsid w:val="00B71939"/>
    <w:rsid w:val="00B73672"/>
    <w:rsid w:val="00B737FB"/>
    <w:rsid w:val="00B75A99"/>
    <w:rsid w:val="00B75D8E"/>
    <w:rsid w:val="00B77D6B"/>
    <w:rsid w:val="00B8041B"/>
    <w:rsid w:val="00B82AF5"/>
    <w:rsid w:val="00B831E9"/>
    <w:rsid w:val="00B91D77"/>
    <w:rsid w:val="00B95ED7"/>
    <w:rsid w:val="00B96AD1"/>
    <w:rsid w:val="00B976C7"/>
    <w:rsid w:val="00B97A0E"/>
    <w:rsid w:val="00BA1874"/>
    <w:rsid w:val="00BA3372"/>
    <w:rsid w:val="00BA3A92"/>
    <w:rsid w:val="00BA737B"/>
    <w:rsid w:val="00BB29BC"/>
    <w:rsid w:val="00BB48F6"/>
    <w:rsid w:val="00BB5C19"/>
    <w:rsid w:val="00BC11F0"/>
    <w:rsid w:val="00BC1421"/>
    <w:rsid w:val="00BC1B67"/>
    <w:rsid w:val="00BC37E5"/>
    <w:rsid w:val="00BC4021"/>
    <w:rsid w:val="00BC434C"/>
    <w:rsid w:val="00BC5C93"/>
    <w:rsid w:val="00BD364F"/>
    <w:rsid w:val="00BD4F22"/>
    <w:rsid w:val="00BD7EBF"/>
    <w:rsid w:val="00BE1E8C"/>
    <w:rsid w:val="00BE42D0"/>
    <w:rsid w:val="00BE775C"/>
    <w:rsid w:val="00BE7E9E"/>
    <w:rsid w:val="00BF007C"/>
    <w:rsid w:val="00BF00F1"/>
    <w:rsid w:val="00BF0FFC"/>
    <w:rsid w:val="00BF148C"/>
    <w:rsid w:val="00BF46AA"/>
    <w:rsid w:val="00BF55E3"/>
    <w:rsid w:val="00BF585F"/>
    <w:rsid w:val="00BF73BD"/>
    <w:rsid w:val="00C00496"/>
    <w:rsid w:val="00C0352F"/>
    <w:rsid w:val="00C03D86"/>
    <w:rsid w:val="00C045C8"/>
    <w:rsid w:val="00C04F2E"/>
    <w:rsid w:val="00C05131"/>
    <w:rsid w:val="00C05877"/>
    <w:rsid w:val="00C078FE"/>
    <w:rsid w:val="00C0791D"/>
    <w:rsid w:val="00C151AD"/>
    <w:rsid w:val="00C16CC0"/>
    <w:rsid w:val="00C1703B"/>
    <w:rsid w:val="00C17DD9"/>
    <w:rsid w:val="00C2057A"/>
    <w:rsid w:val="00C210A2"/>
    <w:rsid w:val="00C21D1E"/>
    <w:rsid w:val="00C221B1"/>
    <w:rsid w:val="00C222DF"/>
    <w:rsid w:val="00C22CF3"/>
    <w:rsid w:val="00C23BB9"/>
    <w:rsid w:val="00C24560"/>
    <w:rsid w:val="00C25B50"/>
    <w:rsid w:val="00C25B7A"/>
    <w:rsid w:val="00C25DC3"/>
    <w:rsid w:val="00C346E4"/>
    <w:rsid w:val="00C34E1A"/>
    <w:rsid w:val="00C3570E"/>
    <w:rsid w:val="00C368CB"/>
    <w:rsid w:val="00C375E0"/>
    <w:rsid w:val="00C43A4B"/>
    <w:rsid w:val="00C45036"/>
    <w:rsid w:val="00C462B7"/>
    <w:rsid w:val="00C47521"/>
    <w:rsid w:val="00C50E4F"/>
    <w:rsid w:val="00C53C78"/>
    <w:rsid w:val="00C55859"/>
    <w:rsid w:val="00C56B21"/>
    <w:rsid w:val="00C6010C"/>
    <w:rsid w:val="00C6388C"/>
    <w:rsid w:val="00C63BBC"/>
    <w:rsid w:val="00C6400A"/>
    <w:rsid w:val="00C64411"/>
    <w:rsid w:val="00C64EBF"/>
    <w:rsid w:val="00C66691"/>
    <w:rsid w:val="00C70179"/>
    <w:rsid w:val="00C70A73"/>
    <w:rsid w:val="00C70EA5"/>
    <w:rsid w:val="00C71534"/>
    <w:rsid w:val="00C723AC"/>
    <w:rsid w:val="00C72438"/>
    <w:rsid w:val="00C73D51"/>
    <w:rsid w:val="00C74278"/>
    <w:rsid w:val="00C74648"/>
    <w:rsid w:val="00C757FC"/>
    <w:rsid w:val="00C75AE2"/>
    <w:rsid w:val="00C82017"/>
    <w:rsid w:val="00C82405"/>
    <w:rsid w:val="00C8304D"/>
    <w:rsid w:val="00C8420B"/>
    <w:rsid w:val="00C84C0C"/>
    <w:rsid w:val="00C84D49"/>
    <w:rsid w:val="00C85BAC"/>
    <w:rsid w:val="00C86A9F"/>
    <w:rsid w:val="00C917D9"/>
    <w:rsid w:val="00C92BD3"/>
    <w:rsid w:val="00C93DD9"/>
    <w:rsid w:val="00C944E6"/>
    <w:rsid w:val="00C9680E"/>
    <w:rsid w:val="00C96C1F"/>
    <w:rsid w:val="00C9724F"/>
    <w:rsid w:val="00C97B08"/>
    <w:rsid w:val="00CA00E8"/>
    <w:rsid w:val="00CA2801"/>
    <w:rsid w:val="00CA2FF9"/>
    <w:rsid w:val="00CA4F9D"/>
    <w:rsid w:val="00CA788B"/>
    <w:rsid w:val="00CB0958"/>
    <w:rsid w:val="00CB1172"/>
    <w:rsid w:val="00CB26C0"/>
    <w:rsid w:val="00CB488F"/>
    <w:rsid w:val="00CB5DB5"/>
    <w:rsid w:val="00CB71F5"/>
    <w:rsid w:val="00CC0152"/>
    <w:rsid w:val="00CC04C9"/>
    <w:rsid w:val="00CC558A"/>
    <w:rsid w:val="00CD00CB"/>
    <w:rsid w:val="00CD1E40"/>
    <w:rsid w:val="00CD72EF"/>
    <w:rsid w:val="00CD7878"/>
    <w:rsid w:val="00CE0A81"/>
    <w:rsid w:val="00CE13B7"/>
    <w:rsid w:val="00CE4707"/>
    <w:rsid w:val="00CE6B94"/>
    <w:rsid w:val="00CF0942"/>
    <w:rsid w:val="00CF0CC4"/>
    <w:rsid w:val="00CF1DAB"/>
    <w:rsid w:val="00CF3E3A"/>
    <w:rsid w:val="00CF4CBF"/>
    <w:rsid w:val="00CF4DB6"/>
    <w:rsid w:val="00D00EF9"/>
    <w:rsid w:val="00D02B19"/>
    <w:rsid w:val="00D04865"/>
    <w:rsid w:val="00D05C2C"/>
    <w:rsid w:val="00D061A5"/>
    <w:rsid w:val="00D10577"/>
    <w:rsid w:val="00D10A26"/>
    <w:rsid w:val="00D11966"/>
    <w:rsid w:val="00D1226B"/>
    <w:rsid w:val="00D17C69"/>
    <w:rsid w:val="00D20869"/>
    <w:rsid w:val="00D22281"/>
    <w:rsid w:val="00D224AD"/>
    <w:rsid w:val="00D22824"/>
    <w:rsid w:val="00D22A7C"/>
    <w:rsid w:val="00D25E96"/>
    <w:rsid w:val="00D25FC9"/>
    <w:rsid w:val="00D275AF"/>
    <w:rsid w:val="00D279F7"/>
    <w:rsid w:val="00D30D14"/>
    <w:rsid w:val="00D31378"/>
    <w:rsid w:val="00D31404"/>
    <w:rsid w:val="00D31A07"/>
    <w:rsid w:val="00D34007"/>
    <w:rsid w:val="00D36086"/>
    <w:rsid w:val="00D40593"/>
    <w:rsid w:val="00D41623"/>
    <w:rsid w:val="00D41D5A"/>
    <w:rsid w:val="00D424A8"/>
    <w:rsid w:val="00D42836"/>
    <w:rsid w:val="00D43BB8"/>
    <w:rsid w:val="00D442F2"/>
    <w:rsid w:val="00D44D92"/>
    <w:rsid w:val="00D45661"/>
    <w:rsid w:val="00D469DB"/>
    <w:rsid w:val="00D51E50"/>
    <w:rsid w:val="00D5406F"/>
    <w:rsid w:val="00D54EAF"/>
    <w:rsid w:val="00D56484"/>
    <w:rsid w:val="00D5673C"/>
    <w:rsid w:val="00D61CBC"/>
    <w:rsid w:val="00D62783"/>
    <w:rsid w:val="00D64975"/>
    <w:rsid w:val="00D66B7D"/>
    <w:rsid w:val="00D66C81"/>
    <w:rsid w:val="00D678A0"/>
    <w:rsid w:val="00D7080A"/>
    <w:rsid w:val="00D70C82"/>
    <w:rsid w:val="00D71379"/>
    <w:rsid w:val="00D7215A"/>
    <w:rsid w:val="00D72C9B"/>
    <w:rsid w:val="00D74C1E"/>
    <w:rsid w:val="00D759FE"/>
    <w:rsid w:val="00D7792F"/>
    <w:rsid w:val="00D81897"/>
    <w:rsid w:val="00D82309"/>
    <w:rsid w:val="00D85C9D"/>
    <w:rsid w:val="00D86B49"/>
    <w:rsid w:val="00D8766D"/>
    <w:rsid w:val="00D91FDB"/>
    <w:rsid w:val="00D94EA2"/>
    <w:rsid w:val="00D96608"/>
    <w:rsid w:val="00D96809"/>
    <w:rsid w:val="00D97B77"/>
    <w:rsid w:val="00DA019D"/>
    <w:rsid w:val="00DA0898"/>
    <w:rsid w:val="00DA0BA8"/>
    <w:rsid w:val="00DA1EA5"/>
    <w:rsid w:val="00DA6200"/>
    <w:rsid w:val="00DA65C8"/>
    <w:rsid w:val="00DB1CDC"/>
    <w:rsid w:val="00DB29E5"/>
    <w:rsid w:val="00DB5516"/>
    <w:rsid w:val="00DC0609"/>
    <w:rsid w:val="00DC1858"/>
    <w:rsid w:val="00DC2665"/>
    <w:rsid w:val="00DC4967"/>
    <w:rsid w:val="00DC68CF"/>
    <w:rsid w:val="00DC68FD"/>
    <w:rsid w:val="00DD5428"/>
    <w:rsid w:val="00DE117C"/>
    <w:rsid w:val="00DE2ABB"/>
    <w:rsid w:val="00DE2B6B"/>
    <w:rsid w:val="00DE2BDA"/>
    <w:rsid w:val="00DE334E"/>
    <w:rsid w:val="00DE63B5"/>
    <w:rsid w:val="00DE7E2D"/>
    <w:rsid w:val="00DF2144"/>
    <w:rsid w:val="00DF2E1E"/>
    <w:rsid w:val="00DF46F4"/>
    <w:rsid w:val="00DF755A"/>
    <w:rsid w:val="00E01586"/>
    <w:rsid w:val="00E021A3"/>
    <w:rsid w:val="00E038FF"/>
    <w:rsid w:val="00E058D8"/>
    <w:rsid w:val="00E05923"/>
    <w:rsid w:val="00E05A3F"/>
    <w:rsid w:val="00E073C5"/>
    <w:rsid w:val="00E1138B"/>
    <w:rsid w:val="00E11C64"/>
    <w:rsid w:val="00E1227C"/>
    <w:rsid w:val="00E1261D"/>
    <w:rsid w:val="00E1280A"/>
    <w:rsid w:val="00E12CB1"/>
    <w:rsid w:val="00E149B0"/>
    <w:rsid w:val="00E20468"/>
    <w:rsid w:val="00E21ABB"/>
    <w:rsid w:val="00E225FE"/>
    <w:rsid w:val="00E2354D"/>
    <w:rsid w:val="00E244AE"/>
    <w:rsid w:val="00E25B1A"/>
    <w:rsid w:val="00E2671F"/>
    <w:rsid w:val="00E279D9"/>
    <w:rsid w:val="00E27ECA"/>
    <w:rsid w:val="00E27FAF"/>
    <w:rsid w:val="00E320B7"/>
    <w:rsid w:val="00E34EB9"/>
    <w:rsid w:val="00E35D17"/>
    <w:rsid w:val="00E36BCA"/>
    <w:rsid w:val="00E42AB1"/>
    <w:rsid w:val="00E45537"/>
    <w:rsid w:val="00E45DE3"/>
    <w:rsid w:val="00E47D85"/>
    <w:rsid w:val="00E52099"/>
    <w:rsid w:val="00E55D65"/>
    <w:rsid w:val="00E56509"/>
    <w:rsid w:val="00E56624"/>
    <w:rsid w:val="00E56DC3"/>
    <w:rsid w:val="00E5752B"/>
    <w:rsid w:val="00E60833"/>
    <w:rsid w:val="00E63CCE"/>
    <w:rsid w:val="00E63CF1"/>
    <w:rsid w:val="00E6799C"/>
    <w:rsid w:val="00E67D83"/>
    <w:rsid w:val="00E70D62"/>
    <w:rsid w:val="00E73E11"/>
    <w:rsid w:val="00E7444B"/>
    <w:rsid w:val="00E7520A"/>
    <w:rsid w:val="00E81665"/>
    <w:rsid w:val="00E81B9B"/>
    <w:rsid w:val="00E826B4"/>
    <w:rsid w:val="00E83FB5"/>
    <w:rsid w:val="00E85500"/>
    <w:rsid w:val="00E857F9"/>
    <w:rsid w:val="00E86633"/>
    <w:rsid w:val="00E86B0D"/>
    <w:rsid w:val="00E905EC"/>
    <w:rsid w:val="00E924B6"/>
    <w:rsid w:val="00E938DE"/>
    <w:rsid w:val="00E93C2E"/>
    <w:rsid w:val="00E94E60"/>
    <w:rsid w:val="00E95D1A"/>
    <w:rsid w:val="00E96E9B"/>
    <w:rsid w:val="00E9732B"/>
    <w:rsid w:val="00E97FFA"/>
    <w:rsid w:val="00EA0170"/>
    <w:rsid w:val="00EA0578"/>
    <w:rsid w:val="00EA1988"/>
    <w:rsid w:val="00EA19A6"/>
    <w:rsid w:val="00EA2631"/>
    <w:rsid w:val="00EA7F5E"/>
    <w:rsid w:val="00EB0E47"/>
    <w:rsid w:val="00EB11B5"/>
    <w:rsid w:val="00EB125A"/>
    <w:rsid w:val="00EB307B"/>
    <w:rsid w:val="00EB6011"/>
    <w:rsid w:val="00EB7D55"/>
    <w:rsid w:val="00EC0F4F"/>
    <w:rsid w:val="00EC1078"/>
    <w:rsid w:val="00EC1A04"/>
    <w:rsid w:val="00EC30E9"/>
    <w:rsid w:val="00EC3852"/>
    <w:rsid w:val="00EC4268"/>
    <w:rsid w:val="00EC4473"/>
    <w:rsid w:val="00EC498D"/>
    <w:rsid w:val="00EC5139"/>
    <w:rsid w:val="00EC55BE"/>
    <w:rsid w:val="00EC59AC"/>
    <w:rsid w:val="00EC7BCE"/>
    <w:rsid w:val="00ED193A"/>
    <w:rsid w:val="00ED2A9F"/>
    <w:rsid w:val="00ED3F67"/>
    <w:rsid w:val="00ED721C"/>
    <w:rsid w:val="00EE088E"/>
    <w:rsid w:val="00EE3F92"/>
    <w:rsid w:val="00EE4294"/>
    <w:rsid w:val="00EE50A6"/>
    <w:rsid w:val="00EE513A"/>
    <w:rsid w:val="00EE53C6"/>
    <w:rsid w:val="00EE5B84"/>
    <w:rsid w:val="00EE63AE"/>
    <w:rsid w:val="00EE6871"/>
    <w:rsid w:val="00EF1C79"/>
    <w:rsid w:val="00EF3A2F"/>
    <w:rsid w:val="00EF4A02"/>
    <w:rsid w:val="00EF4E0F"/>
    <w:rsid w:val="00EF7AC7"/>
    <w:rsid w:val="00F01099"/>
    <w:rsid w:val="00F01D72"/>
    <w:rsid w:val="00F01EE4"/>
    <w:rsid w:val="00F05069"/>
    <w:rsid w:val="00F064F2"/>
    <w:rsid w:val="00F07CA6"/>
    <w:rsid w:val="00F120A7"/>
    <w:rsid w:val="00F12B1E"/>
    <w:rsid w:val="00F13D38"/>
    <w:rsid w:val="00F148D7"/>
    <w:rsid w:val="00F15569"/>
    <w:rsid w:val="00F15573"/>
    <w:rsid w:val="00F170DC"/>
    <w:rsid w:val="00F17897"/>
    <w:rsid w:val="00F23345"/>
    <w:rsid w:val="00F233F7"/>
    <w:rsid w:val="00F26AC7"/>
    <w:rsid w:val="00F27577"/>
    <w:rsid w:val="00F27E4F"/>
    <w:rsid w:val="00F300E0"/>
    <w:rsid w:val="00F3035D"/>
    <w:rsid w:val="00F30E82"/>
    <w:rsid w:val="00F31D99"/>
    <w:rsid w:val="00F37633"/>
    <w:rsid w:val="00F404F4"/>
    <w:rsid w:val="00F42858"/>
    <w:rsid w:val="00F42E84"/>
    <w:rsid w:val="00F44732"/>
    <w:rsid w:val="00F45DBB"/>
    <w:rsid w:val="00F46633"/>
    <w:rsid w:val="00F468BB"/>
    <w:rsid w:val="00F47EFF"/>
    <w:rsid w:val="00F528F8"/>
    <w:rsid w:val="00F56107"/>
    <w:rsid w:val="00F56468"/>
    <w:rsid w:val="00F56559"/>
    <w:rsid w:val="00F60A4C"/>
    <w:rsid w:val="00F61791"/>
    <w:rsid w:val="00F63EF8"/>
    <w:rsid w:val="00F64C5E"/>
    <w:rsid w:val="00F64F4D"/>
    <w:rsid w:val="00F66878"/>
    <w:rsid w:val="00F671D5"/>
    <w:rsid w:val="00F675C3"/>
    <w:rsid w:val="00F706E2"/>
    <w:rsid w:val="00F72A8A"/>
    <w:rsid w:val="00F74D31"/>
    <w:rsid w:val="00F75DE8"/>
    <w:rsid w:val="00F77CB2"/>
    <w:rsid w:val="00F8200F"/>
    <w:rsid w:val="00F8240D"/>
    <w:rsid w:val="00F82E6D"/>
    <w:rsid w:val="00F86E32"/>
    <w:rsid w:val="00F878C9"/>
    <w:rsid w:val="00F91521"/>
    <w:rsid w:val="00F960B4"/>
    <w:rsid w:val="00F96664"/>
    <w:rsid w:val="00F97D73"/>
    <w:rsid w:val="00FA0F54"/>
    <w:rsid w:val="00FA1BCA"/>
    <w:rsid w:val="00FA7413"/>
    <w:rsid w:val="00FA7C4E"/>
    <w:rsid w:val="00FB2FC0"/>
    <w:rsid w:val="00FB32F8"/>
    <w:rsid w:val="00FB5A6E"/>
    <w:rsid w:val="00FB7E47"/>
    <w:rsid w:val="00FC2BB7"/>
    <w:rsid w:val="00FC32F1"/>
    <w:rsid w:val="00FC67C2"/>
    <w:rsid w:val="00FD2769"/>
    <w:rsid w:val="00FD3427"/>
    <w:rsid w:val="00FD3569"/>
    <w:rsid w:val="00FD3BAE"/>
    <w:rsid w:val="00FE05ED"/>
    <w:rsid w:val="00FE33D5"/>
    <w:rsid w:val="00FE513E"/>
    <w:rsid w:val="00FE548D"/>
    <w:rsid w:val="00FE7C77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2770F"/>
  <w15:docId w15:val="{0C276613-0536-4D39-B274-91DB49EB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862"/>
  </w:style>
  <w:style w:type="paragraph" w:styleId="Nagwek1">
    <w:name w:val="heading 1"/>
    <w:basedOn w:val="Normalny"/>
    <w:next w:val="Normalny"/>
    <w:link w:val="Nagwek1Znak"/>
    <w:qFormat/>
    <w:rsid w:val="00DE2ABB"/>
    <w:pPr>
      <w:keepNext/>
      <w:keepLines/>
      <w:numPr>
        <w:numId w:val="39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F10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Nagwek6">
    <w:name w:val="heading 6"/>
    <w:basedOn w:val="Normalny"/>
    <w:next w:val="Normalny"/>
    <w:link w:val="Nagwek6Znak"/>
    <w:qFormat/>
    <w:rsid w:val="00593066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93066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68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8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862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68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68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6862"/>
    <w:rPr>
      <w:vertAlign w:val="superscript"/>
    </w:rPr>
  </w:style>
  <w:style w:type="paragraph" w:styleId="Lista2">
    <w:name w:val="List 2"/>
    <w:basedOn w:val="Normalny"/>
    <w:rsid w:val="00A169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F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F585F"/>
  </w:style>
  <w:style w:type="paragraph" w:styleId="Stopka">
    <w:name w:val="footer"/>
    <w:basedOn w:val="Normalny"/>
    <w:link w:val="StopkaZnak"/>
    <w:uiPriority w:val="99"/>
    <w:unhideWhenUsed/>
    <w:rsid w:val="00BF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85F"/>
  </w:style>
  <w:style w:type="character" w:customStyle="1" w:styleId="Nagwek6Znak">
    <w:name w:val="Nagłówek 6 Znak"/>
    <w:basedOn w:val="Domylnaczcionkaakapitu"/>
    <w:link w:val="Nagwek6"/>
    <w:rsid w:val="005930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9306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06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E2AB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3066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B26C0"/>
    <w:pPr>
      <w:tabs>
        <w:tab w:val="left" w:pos="1134"/>
        <w:tab w:val="right" w:leader="dot" w:pos="9062"/>
      </w:tabs>
      <w:spacing w:after="100"/>
      <w:ind w:left="1134" w:hanging="1134"/>
      <w:jc w:val="both"/>
    </w:pPr>
    <w:rPr>
      <w:b/>
    </w:rPr>
  </w:style>
  <w:style w:type="character" w:styleId="Hipercze">
    <w:name w:val="Hyperlink"/>
    <w:basedOn w:val="Domylnaczcionkaakapitu"/>
    <w:uiPriority w:val="99"/>
    <w:unhideWhenUsed/>
    <w:rsid w:val="0059306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0C37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37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37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1E"/>
    <w:rPr>
      <w:b/>
      <w:bCs/>
      <w:sz w:val="20"/>
      <w:szCs w:val="20"/>
    </w:rPr>
  </w:style>
  <w:style w:type="paragraph" w:customStyle="1" w:styleId="Default">
    <w:name w:val="Default"/>
    <w:rsid w:val="00924C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9481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D2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6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sous-titre202p9">
    <w:name w:val="a_sous-titre_20_2_p9"/>
    <w:basedOn w:val="Normalny"/>
    <w:rsid w:val="00F6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3520normal">
    <w:name w:val="a___35__20_normal"/>
    <w:basedOn w:val="Normalny"/>
    <w:rsid w:val="00F6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4">
    <w:name w:val="a__t4"/>
    <w:basedOn w:val="Domylnaczcionkaakapitu"/>
    <w:rsid w:val="00F63EF8"/>
  </w:style>
  <w:style w:type="paragraph" w:styleId="Tekstpodstawowy">
    <w:name w:val="Body Text"/>
    <w:basedOn w:val="Normalny"/>
    <w:link w:val="TekstpodstawowyZnak"/>
    <w:rsid w:val="00C6669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6691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oc-ti">
    <w:name w:val="doc-ti"/>
    <w:basedOn w:val="Normalny"/>
    <w:rsid w:val="0059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6F10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327523"/>
    <w:pPr>
      <w:tabs>
        <w:tab w:val="right" w:leader="dot" w:pos="9062"/>
      </w:tabs>
      <w:spacing w:after="100"/>
      <w:ind w:left="426"/>
    </w:pPr>
  </w:style>
  <w:style w:type="character" w:styleId="UyteHipercze">
    <w:name w:val="FollowedHyperlink"/>
    <w:basedOn w:val="Domylnaczcionkaakapitu"/>
    <w:uiPriority w:val="99"/>
    <w:semiHidden/>
    <w:unhideWhenUsed/>
    <w:rsid w:val="005B4EDB"/>
    <w:rPr>
      <w:color w:val="800080" w:themeColor="followedHyperlink"/>
      <w:u w:val="single"/>
    </w:rPr>
  </w:style>
  <w:style w:type="character" w:customStyle="1" w:styleId="left">
    <w:name w:val="left"/>
    <w:basedOn w:val="Domylnaczcionkaakapitu"/>
    <w:rsid w:val="00C50E4F"/>
  </w:style>
  <w:style w:type="paragraph" w:customStyle="1" w:styleId="Style6">
    <w:name w:val="Style6"/>
    <w:basedOn w:val="Normalny"/>
    <w:uiPriority w:val="99"/>
    <w:rsid w:val="0010395C"/>
    <w:pPr>
      <w:widowControl w:val="0"/>
      <w:autoSpaceDE w:val="0"/>
      <w:autoSpaceDN w:val="0"/>
      <w:adjustRightInd w:val="0"/>
      <w:spacing w:after="0" w:line="274" w:lineRule="exact"/>
      <w:ind w:hanging="422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1039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7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621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35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69A1-E326-4072-B3A0-3A5DA9F0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3211</Words>
  <Characters>19270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 S.A.</Company>
  <LinksUpToDate>false</LinksUpToDate>
  <CharactersWithSpaces>22437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Żylewicz</dc:creator>
  <cp:lastModifiedBy>Anna Czechowska</cp:lastModifiedBy>
  <cp:revision>8</cp:revision>
  <cp:lastPrinted>2024-08-26T06:37:00Z</cp:lastPrinted>
  <dcterms:created xsi:type="dcterms:W3CDTF">2024-08-29T06:41:00Z</dcterms:created>
  <dcterms:modified xsi:type="dcterms:W3CDTF">2024-09-25T13:12:00Z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Do-uz-wewnetrznego</vt:lpwstr>
  </property>
  <property fmtid="{D5CDD505-2E9C-101B-9397-08002B2CF9AE}" pid="3" name="BPSClassifiedBy">
    <vt:lpwstr>BANK\katarzyna.zmudzka;Katarzyna Żmudzka</vt:lpwstr>
  </property>
  <property fmtid="{D5CDD505-2E9C-101B-9397-08002B2CF9AE}" pid="4" name="BPSClassificationDate">
    <vt:lpwstr>2018-11-08T13:17:18.9633959+01:00</vt:lpwstr>
  </property>
  <property fmtid="{D5CDD505-2E9C-101B-9397-08002B2CF9AE}" pid="5" name="BPSClassifiedBySID">
    <vt:lpwstr>BANK\S-1-5-21-2235066060-4034229115-1914166231-21270</vt:lpwstr>
  </property>
  <property fmtid="{D5CDD505-2E9C-101B-9397-08002B2CF9AE}" pid="6" name="BPSGRNItemId">
    <vt:lpwstr>GRN-61d9be1b-3b10-4a48-9257-095a3d433e71</vt:lpwstr>
  </property>
  <property fmtid="{D5CDD505-2E9C-101B-9397-08002B2CF9AE}" pid="7" name="BPSHash">
    <vt:lpwstr>3rG2y+sMofiENncNI/5p1NroI57gVMzr3WkaTs9p0pQ=</vt:lpwstr>
  </property>
  <property fmtid="{D5CDD505-2E9C-101B-9397-08002B2CF9AE}" pid="8" name="BPSRefresh">
    <vt:lpwstr>False</vt:lpwstr>
  </property>
</Properties>
</file>