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6006" w14:textId="03136E06" w:rsidR="00AE3967" w:rsidRPr="00A068F5" w:rsidRDefault="00AE3967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04280FF" w14:textId="5D1FDC34" w:rsidR="004F06B9" w:rsidRPr="00A068F5" w:rsidRDefault="00455D54" w:rsidP="004F06B9">
      <w:pPr>
        <w:suppressAutoHyphens w:val="0"/>
        <w:autoSpaceDE w:val="0"/>
        <w:adjustRightInd w:val="0"/>
        <w:spacing w:before="43" w:line="264" w:lineRule="exact"/>
        <w:ind w:left="4478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Załącznik</w:t>
      </w:r>
      <w:r w:rsidR="004F06B9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 Uchwały Nr </w:t>
      </w:r>
      <w:r w:rsidR="006B4DC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40b</w:t>
      </w:r>
      <w:r w:rsidR="004F06B9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/20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Zarządu Banku Spółdzielczego w Legionowie  z dnia </w:t>
      </w:r>
      <w:r w:rsidR="004F06B9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25.06.2020</w:t>
      </w:r>
    </w:p>
    <w:p w14:paraId="36164B5A" w14:textId="6B59CE72" w:rsidR="00455D54" w:rsidRPr="00A068F5" w:rsidRDefault="004F06B9" w:rsidP="004F06B9">
      <w:pPr>
        <w:suppressAutoHyphens w:val="0"/>
        <w:autoSpaceDE w:val="0"/>
        <w:adjustRightInd w:val="0"/>
        <w:spacing w:before="43" w:line="264" w:lineRule="exact"/>
        <w:ind w:left="4478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Załącznik do Uchwały Nr16/20</w:t>
      </w:r>
      <w:r w:rsidR="00455D54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Rady Nadzorczej z dnia </w:t>
      </w:r>
      <w:r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01.09.2020</w:t>
      </w:r>
      <w:r w:rsidR="00455D54" w:rsidRPr="00A068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r.</w:t>
      </w:r>
    </w:p>
    <w:p w14:paraId="1B709281" w14:textId="105596E3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0102EA1" w14:textId="17D9A9E3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4572350" w14:textId="6DF2703A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8C85BCE" w14:textId="0976B5B2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A25288F" w14:textId="77777777" w:rsidR="00455D54" w:rsidRPr="00A068F5" w:rsidRDefault="00455D54" w:rsidP="00807E12">
      <w:pPr>
        <w:suppressAutoHyphens w:val="0"/>
        <w:autoSpaceDE w:val="0"/>
        <w:spacing w:line="240" w:lineRule="auto"/>
        <w:textAlignment w:val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236C4CF" w14:textId="77777777" w:rsidR="00AE3967" w:rsidRPr="00A068F5" w:rsidRDefault="00AE3967" w:rsidP="00AE3967">
      <w:pPr>
        <w:spacing w:line="280" w:lineRule="atLeast"/>
        <w:rPr>
          <w:rFonts w:ascii="Times New Roman" w:hAnsi="Times New Roman"/>
          <w:sz w:val="24"/>
          <w:szCs w:val="24"/>
        </w:rPr>
      </w:pPr>
    </w:p>
    <w:p w14:paraId="1A291224" w14:textId="77777777" w:rsidR="00AE3967" w:rsidRPr="00A068F5" w:rsidRDefault="00AE3967" w:rsidP="00AE3967">
      <w:pPr>
        <w:pStyle w:val="Tytu"/>
      </w:pPr>
      <w:r w:rsidRPr="00A068F5">
        <w:rPr>
          <w:noProof/>
        </w:rPr>
        <w:drawing>
          <wp:inline distT="0" distB="0" distL="0" distR="0" wp14:anchorId="5F60ADBC" wp14:editId="1AF6013B">
            <wp:extent cx="2295525" cy="2181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B9DC" w14:textId="77777777" w:rsidR="00AE3967" w:rsidRPr="00A068F5" w:rsidRDefault="00AE3967" w:rsidP="00AE3967">
      <w:pPr>
        <w:pStyle w:val="Tytu"/>
      </w:pPr>
    </w:p>
    <w:p w14:paraId="6E4BEB09" w14:textId="77777777" w:rsidR="00365F87" w:rsidRPr="00A068F5" w:rsidRDefault="00365F87" w:rsidP="00365F8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8F6E3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84BBA7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7C5B752" wp14:editId="2716ADFD">
            <wp:extent cx="3200400" cy="300926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26BB" w14:textId="4255E765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0AB01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2CFB63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right="4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252DB2" w14:textId="77777777" w:rsidR="00455D54" w:rsidRPr="00A068F5" w:rsidRDefault="00455D54" w:rsidP="00455D54">
      <w:pPr>
        <w:suppressAutoHyphens w:val="0"/>
        <w:autoSpaceDE w:val="0"/>
        <w:adjustRightInd w:val="0"/>
        <w:spacing w:before="158" w:line="634" w:lineRule="exact"/>
        <w:ind w:right="48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Polityka zarządzania ładem korporacyjnym w Banku Spółdzielczym w Legionowie</w:t>
      </w:r>
    </w:p>
    <w:p w14:paraId="1D56D371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FA5E5C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2ADC2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0F079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63BAF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C6770" w14:textId="77F00436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DE78F0" w14:textId="6AD269A0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2B022F" w14:textId="7DFF7DA4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84021A" w14:textId="5C516D4B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DACBE2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291CB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04B9D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A18E6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E1642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CD1339" w14:textId="73932EF9" w:rsidR="00455D54" w:rsidRPr="00A068F5" w:rsidRDefault="00455D54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Legionowo,</w:t>
      </w:r>
      <w:r w:rsidR="00D946C9">
        <w:rPr>
          <w:rFonts w:ascii="Times New Roman" w:eastAsia="Times New Roman" w:hAnsi="Times New Roman"/>
          <w:sz w:val="24"/>
          <w:szCs w:val="24"/>
          <w:lang w:eastAsia="pl-PL"/>
        </w:rPr>
        <w:t xml:space="preserve"> czerwiec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</w:p>
    <w:p w14:paraId="7B675BBA" w14:textId="77777777" w:rsidR="00455D54" w:rsidRPr="00A068F5" w:rsidRDefault="00455D54" w:rsidP="00455D54">
      <w:pPr>
        <w:suppressAutoHyphens w:val="0"/>
        <w:autoSpaceDE w:val="0"/>
        <w:adjustRightInd w:val="0"/>
        <w:spacing w:before="48" w:line="240" w:lineRule="auto"/>
        <w:ind w:left="351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80C9CF" w14:textId="77777777" w:rsidR="00455D54" w:rsidRPr="00A068F5" w:rsidRDefault="00455D54" w:rsidP="00455D54">
      <w:pPr>
        <w:suppressAutoHyphens w:val="0"/>
        <w:autoSpaceDE w:val="0"/>
        <w:adjustRightInd w:val="0"/>
        <w:spacing w:before="53" w:line="307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związku z opublikowaniem przez Komisję Nadzoru Finansowego Zasad Ładu Korporacyjnego dla instytucji nadzorowanych, Bank Spółdzielczy w Legionowie, zwany dalej Bankiem opracował „Politykę zarządzania ładem korporacyjnym w Banku Spółdzielczym w Legionowie" zwaną dalej Polityką.</w:t>
      </w:r>
    </w:p>
    <w:p w14:paraId="5CCAF904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0012A" w14:textId="77777777" w:rsidR="00455D54" w:rsidRPr="00A068F5" w:rsidRDefault="00455D54" w:rsidP="00455D54">
      <w:pPr>
        <w:suppressAutoHyphens w:val="0"/>
        <w:autoSpaceDE w:val="0"/>
        <w:adjustRightInd w:val="0"/>
        <w:spacing w:before="139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§2</w:t>
      </w:r>
    </w:p>
    <w:p w14:paraId="6DF9ABFB" w14:textId="77777777" w:rsidR="00455D54" w:rsidRPr="00A068F5" w:rsidRDefault="00455D54" w:rsidP="00455D54">
      <w:pPr>
        <w:suppressAutoHyphens w:val="0"/>
        <w:autoSpaceDE w:val="0"/>
        <w:adjustRightInd w:val="0"/>
        <w:spacing w:before="29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zarządzania ładem korporacyjnym, obejmuje następujące obszary:</w:t>
      </w:r>
    </w:p>
    <w:p w14:paraId="1E47A29D" w14:textId="720818D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before="38"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Organizacja i struktura organizacyjna</w:t>
      </w:r>
      <w:r w:rsidR="00C5250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362033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Relacja z udziałowcami,</w:t>
      </w:r>
    </w:p>
    <w:p w14:paraId="607E2316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before="5"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 zarządzający,</w:t>
      </w:r>
    </w:p>
    <w:p w14:paraId="6214E5AC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 nadzorujący,</w:t>
      </w:r>
    </w:p>
    <w:p w14:paraId="56BBD9CA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informacyjna,</w:t>
      </w:r>
    </w:p>
    <w:p w14:paraId="7F9F0035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wynagradzania,</w:t>
      </w:r>
    </w:p>
    <w:p w14:paraId="11D7EBB1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Działalność promocyjna i relacje z klientami,</w:t>
      </w:r>
    </w:p>
    <w:p w14:paraId="23799149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Kluczowe systemy i funkcje wewnętrzne,</w:t>
      </w:r>
    </w:p>
    <w:p w14:paraId="09C768E7" w14:textId="77777777" w:rsidR="00455D54" w:rsidRPr="00A068F5" w:rsidRDefault="00455D54" w:rsidP="00373B38">
      <w:pPr>
        <w:widowControl w:val="0"/>
        <w:numPr>
          <w:ilvl w:val="0"/>
          <w:numId w:val="15"/>
        </w:numPr>
        <w:tabs>
          <w:tab w:val="left" w:pos="710"/>
        </w:tabs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Wykonywanie uprawnień z aktywów nabytych na ryzyko klienta - nie dotyczy Banku.</w:t>
      </w:r>
    </w:p>
    <w:p w14:paraId="42100F0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E5B35" w14:textId="77777777" w:rsidR="00455D54" w:rsidRPr="00A068F5" w:rsidRDefault="00455D54" w:rsidP="00455D54">
      <w:pPr>
        <w:suppressAutoHyphens w:val="0"/>
        <w:autoSpaceDE w:val="0"/>
        <w:adjustRightInd w:val="0"/>
        <w:spacing w:before="67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§3</w:t>
      </w:r>
    </w:p>
    <w:p w14:paraId="109DF944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7066AB" w14:textId="77777777" w:rsidR="00455D54" w:rsidRPr="00A068F5" w:rsidRDefault="00455D54" w:rsidP="00455D54">
      <w:pPr>
        <w:suppressAutoHyphens w:val="0"/>
        <w:autoSpaceDE w:val="0"/>
        <w:adjustRightInd w:val="0"/>
        <w:spacing w:before="24"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Organizacja i struktura organizacyjna:</w:t>
      </w:r>
    </w:p>
    <w:p w14:paraId="481A1B36" w14:textId="77777777" w:rsid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Organizacja Banku powinna umożliwiać osiąganie długoterminowych celów prowadzonej działalności,</w:t>
      </w:r>
    </w:p>
    <w:p w14:paraId="3C3E720C" w14:textId="77777777" w:rsid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Struktura organizacyjna Banku jest dostosowana do specyfiki działalności oraz skali, złożoności i profilu ryzyka występującego w Banku,</w:t>
      </w:r>
    </w:p>
    <w:p w14:paraId="08F3781B" w14:textId="77777777" w:rsid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Podział zadań, sprawozdawczości i zasady kontroli są jasno i jednoznacznie określone w procedurach wewnętrznych oraz w zakresach czynności pracowników Banku, w sposób zapewniający, że zadania nie nakładają się, a odpowiedzialność za poszczególne obszary działania jest jednoznacznie określona.</w:t>
      </w:r>
    </w:p>
    <w:p w14:paraId="3AF4FA5C" w14:textId="77777777" w:rsidR="00E37A3D" w:rsidRDefault="00E37A3D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55D54" w:rsidRPr="00E37A3D">
        <w:rPr>
          <w:rFonts w:ascii="Times New Roman" w:eastAsia="Times New Roman" w:hAnsi="Times New Roman"/>
          <w:sz w:val="24"/>
          <w:szCs w:val="24"/>
          <w:lang w:eastAsia="pl-PL"/>
        </w:rPr>
        <w:t>truktura organizacyjna obejmuje wszystkie poziomy zarządzania pogrupowane w funkcyjne piony, obejmujące wszystkie istotne grupy procesów, realizowanych przez Bank.</w:t>
      </w:r>
    </w:p>
    <w:p w14:paraId="450757C0" w14:textId="7E23B573" w:rsidR="00455D54" w:rsidRP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djustRightInd w:val="0"/>
        <w:spacing w:before="38"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Struktura organizacyjna znajduje swoje odzwierciedlenie między innymi w:</w:t>
      </w:r>
    </w:p>
    <w:p w14:paraId="45BE398A" w14:textId="77777777" w:rsidR="00455D54" w:rsidRPr="00A068F5" w:rsidRDefault="00455D54" w:rsidP="00393D3D">
      <w:pPr>
        <w:tabs>
          <w:tab w:val="left" w:pos="426"/>
        </w:tabs>
        <w:suppressAutoHyphens w:val="0"/>
        <w:autoSpaceDE w:val="0"/>
        <w:adjustRightInd w:val="0"/>
        <w:spacing w:line="240" w:lineRule="auto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AFA2F2" w14:textId="77777777" w:rsid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Regulaminie działania Zarządu w zakresie nadzoru nad poszczególnymi pionami, komórkami i jednostkami organizacyjnymi oraz zasady odpowiedzialności za poszczególne obszary funkcjonowania Banku,</w:t>
      </w:r>
    </w:p>
    <w:p w14:paraId="175721D7" w14:textId="77777777" w:rsid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Regulaminie kontroli wewnętrznej w zakresie organizacji systemu kontroli wewnętrznej,</w:t>
      </w:r>
    </w:p>
    <w:p w14:paraId="038085DC" w14:textId="77777777" w:rsid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Instrukcji sporządzania informacji zarządczej, gdzie zdefiniowano min. zakres informacji, częstotliwość, komórki sporządzające i odbiorców informacji,</w:t>
      </w:r>
    </w:p>
    <w:p w14:paraId="03C91DD0" w14:textId="4ECC0249" w:rsidR="00455D54" w:rsidRPr="00E37A3D" w:rsidRDefault="00455D54" w:rsidP="00E37A3D">
      <w:pPr>
        <w:pStyle w:val="Akapitzlist"/>
        <w:widowControl w:val="0"/>
        <w:numPr>
          <w:ilvl w:val="0"/>
          <w:numId w:val="19"/>
        </w:numPr>
        <w:tabs>
          <w:tab w:val="left" w:pos="851"/>
          <w:tab w:val="left" w:pos="970"/>
        </w:tabs>
        <w:suppressAutoHyphens w:val="0"/>
        <w:autoSpaceDE w:val="0"/>
        <w:adjustRightInd w:val="0"/>
        <w:spacing w:line="274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Pozostałych regulacjach Banku, które są okresowo weryfikowane </w:t>
      </w:r>
      <w:r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 Zarząd</w:t>
      </w:r>
      <w:r w:rsidR="0091136B"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E37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Radę Nadzorczą 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między innymi pod kątem spójności z zatwierdzoną strukturą organizacyjną.</w:t>
      </w:r>
    </w:p>
    <w:p w14:paraId="0DC04124" w14:textId="0F951510" w:rsidR="00393D3D" w:rsidRPr="00E37A3D" w:rsidRDefault="00455D54" w:rsidP="00E37A3D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Podstawowa struktura organizacyjna, zatwierdzona przez Zarząd i Radę Nadzorczą jest </w:t>
      </w:r>
    </w:p>
    <w:p w14:paraId="55896E1C" w14:textId="29F76DB2" w:rsidR="00455D54" w:rsidRPr="00A068F5" w:rsidRDefault="00410D04" w:rsidP="00393D3D">
      <w:pPr>
        <w:widowControl w:val="0"/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393D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5D54" w:rsidRPr="00A068F5">
        <w:rPr>
          <w:rFonts w:ascii="Times New Roman" w:eastAsia="Times New Roman" w:hAnsi="Times New Roman"/>
          <w:sz w:val="24"/>
          <w:szCs w:val="24"/>
          <w:lang w:eastAsia="pl-PL"/>
        </w:rPr>
        <w:t>publikowana na stronie internetowej Banku.</w:t>
      </w:r>
    </w:p>
    <w:p w14:paraId="0381D148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 odpowiada za dobór kadr o odpowiednich do realizowanych zadań kwalifikacjach.</w:t>
      </w:r>
    </w:p>
    <w:p w14:paraId="5318A86A" w14:textId="5F3F64D5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Bank stosuje plany ciągłości działania mające na celu zapewnianie ciągłości działania </w:t>
      </w:r>
      <w:r w:rsidR="00E37A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i ograniczenia strat na wypadek poważnych zakłóceń w działalności. Plany ciągłości działania są elementem zarządzania ryzykiem operacyjnym.</w:t>
      </w:r>
    </w:p>
    <w:p w14:paraId="6B487E1B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oceny poziomu ryzyka operacyjnego Rada Nadzorcza i Zarząd są informowane 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wszystkich stwierdzonych nadużyciach, zgłoszonych i zarejestrowanych w Rejestrze zdarzeń ryzyka operacyjnego.</w:t>
      </w:r>
    </w:p>
    <w:p w14:paraId="595515C5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Bank zapewnia pracownikom odpowiedni dostęp do informacji o zakresach uprawnień, obowiązkach i odpowiedzialności poszczególnych komórek organizacyjnych. Wszyscy pracownicy Banku są powiadamiani </w:t>
      </w:r>
      <w:r w:rsidR="00867254" w:rsidRPr="00E37A3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każd</w:t>
      </w:r>
      <w:r w:rsidR="00867254" w:rsidRPr="00E37A3D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zmian</w:t>
      </w:r>
      <w:r w:rsidR="00867254" w:rsidRPr="00E37A3D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organizacyjnego, co poświadczają w stosownych oświadczeniach.</w:t>
      </w:r>
    </w:p>
    <w:p w14:paraId="3953CF2B" w14:textId="77777777" w:rsid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W Banku funkcjonują zasady anonimowego zgłaszania naruszeń prawa, procedur i standardów etycznych.</w:t>
      </w:r>
    </w:p>
    <w:p w14:paraId="28661AFF" w14:textId="155A03E3" w:rsidR="00455D54" w:rsidRPr="00E37A3D" w:rsidRDefault="00455D54" w:rsidP="00E37A3D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Prawa pracowników są należycie chronione, a ich interesy należycie uwzględniane</w:t>
      </w:r>
      <w:r w:rsidR="00393D3D" w:rsidRPr="00E37A3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Powyższe zasady znalazły odzwierciedlenie w Regulaminie pracy, Zakresach czynności</w:t>
      </w:r>
      <w:r w:rsidR="00941630"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, w Regulaminie organizacyjnym oraz w Instrukcji zarządzania kadrami Banku.</w:t>
      </w:r>
    </w:p>
    <w:p w14:paraId="7026639A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80947" w14:textId="77777777" w:rsidR="00455D54" w:rsidRPr="00A068F5" w:rsidRDefault="00455D54" w:rsidP="00455D54">
      <w:pPr>
        <w:suppressAutoHyphens w:val="0"/>
        <w:autoSpaceDE w:val="0"/>
        <w:adjustRightInd w:val="0"/>
        <w:spacing w:before="67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§4</w:t>
      </w:r>
    </w:p>
    <w:p w14:paraId="1418A5DD" w14:textId="77777777" w:rsidR="00455D54" w:rsidRPr="00A068F5" w:rsidRDefault="00455D54" w:rsidP="00393D3D">
      <w:pPr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Relacja z udziałowcami:</w:t>
      </w:r>
    </w:p>
    <w:p w14:paraId="109FC430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działa w interesie wszystkich udziałowców z poszanowaniem interesu klientów.</w:t>
      </w:r>
    </w:p>
    <w:p w14:paraId="5C36220E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zapewnia udziałowcom właściwy dostęp do informacji.</w:t>
      </w:r>
    </w:p>
    <w:p w14:paraId="23C54AE7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Udziałowcy mogą wpływać na funkcjonowanie instytucji nadzorowanej wyłącznie poprzez decyzje organu stanowiącego nie naruszając kompetencji pozostałych organów.</w:t>
      </w:r>
    </w:p>
    <w:p w14:paraId="62D75542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Udziałowcy w swych decyzjach powinni kierować się interesem Banku.</w:t>
      </w:r>
    </w:p>
    <w:p w14:paraId="2FB8E897" w14:textId="77777777" w:rsidR="00393D3D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Udziałowcy nie powinni wykorzystywać swojej pozycji do podejmowania decyzji </w:t>
      </w:r>
    </w:p>
    <w:p w14:paraId="79EEC0E8" w14:textId="5DB8203F" w:rsidR="00455D54" w:rsidRPr="00E37A3D" w:rsidRDefault="00455D54" w:rsidP="00E37A3D">
      <w:pPr>
        <w:pStyle w:val="Akapitzlist"/>
        <w:widowControl w:val="0"/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>prowadzących do przeniesienia aktywów z Banku do innych podmiotów</w:t>
      </w:r>
      <w:r w:rsidR="00A74999" w:rsidRPr="00E37A3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37A3D"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do nabycia lub zbycia albo zawierania innych transakcji powodujących rozporządzenie przez Bank jej majątkiem na warunkach innych niż rynkowe, czy też z narażeniem bezpieczeństwa lub interesu Banku.</w:t>
      </w:r>
    </w:p>
    <w:p w14:paraId="576B6EC1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Przeprowadzenie transakcji z podmiotem powiązanym jest zawsze uzasadnione interesem Banku, w stosunku do podmiotów powiązanych Bank nie stosuje korzystniejszych warunków obsługi.</w:t>
      </w:r>
    </w:p>
    <w:p w14:paraId="4F84C04C" w14:textId="03D977FE" w:rsidR="00455D54" w:rsidRPr="001859AC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Udziałowcy odpowiadają za utrzymanie pozycji kapitałowej Banku zdefiniowanej w</w:t>
      </w:r>
      <w:r w:rsidRPr="008D5F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859A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Polityce kapitałowej Banku.</w:t>
      </w:r>
    </w:p>
    <w:p w14:paraId="32D209D0" w14:textId="77777777" w:rsidR="00455D54" w:rsidRPr="00A068F5" w:rsidRDefault="00455D54" w:rsidP="00E37A3D">
      <w:pPr>
        <w:widowControl w:val="0"/>
        <w:numPr>
          <w:ilvl w:val="0"/>
          <w:numId w:val="21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Powyższe zasady mają odzwierciedlenie w regulaminach obejmujących zasady działania organów statutowych Banku.</w:t>
      </w:r>
    </w:p>
    <w:p w14:paraId="3ECF411C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1B321" w14:textId="77777777" w:rsidR="00455D54" w:rsidRPr="00A068F5" w:rsidRDefault="00455D54" w:rsidP="00455D54">
      <w:pPr>
        <w:suppressAutoHyphens w:val="0"/>
        <w:autoSpaceDE w:val="0"/>
        <w:adjustRightInd w:val="0"/>
        <w:spacing w:before="48" w:line="274" w:lineRule="exact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§5</w:t>
      </w:r>
    </w:p>
    <w:p w14:paraId="4C41B84D" w14:textId="77777777" w:rsidR="00455D54" w:rsidRPr="00A068F5" w:rsidRDefault="00455D54" w:rsidP="00393D3D">
      <w:pPr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Zarząd:</w:t>
      </w:r>
    </w:p>
    <w:p w14:paraId="10484E79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Członkowie Zarządu Banku posiadają odpowiednie kompetencje do prowadzenia spraw oraz dają rękojmię należytego wykonywania powierzonych im obowiązków.</w:t>
      </w:r>
    </w:p>
    <w:p w14:paraId="40F72C08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 jest jedynym uprawnionym i odpowiedzialnym za zarządzanie działalnością Banku, w tym za prowadzenie spraw, planowanie, organizowanie, decydowanie, kierowanie oraz kontrolowanie działalności Banku.</w:t>
      </w:r>
    </w:p>
    <w:p w14:paraId="656111F6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Pracą Zarządu kieruje Prezes, a wewnętrzny podział obowiązków w Zarządzie zapewnia unikanie konfliktów interesów.</w:t>
      </w:r>
    </w:p>
    <w:p w14:paraId="57FAE926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Pełnienie funkcji w Zarządzie powinno stanowić główny obszar aktywności zawodowej członka Zarządu.</w:t>
      </w:r>
    </w:p>
    <w:p w14:paraId="4FCF4E64" w14:textId="77777777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Powyższe zasady reguluje Regulamin działania Zarządu.</w:t>
      </w:r>
    </w:p>
    <w:p w14:paraId="5EFF2845" w14:textId="35632200" w:rsidR="00455D54" w:rsidRPr="00A068F5" w:rsidRDefault="00455D54" w:rsidP="004718E0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Posiedzenia Zarządu odbywają się w języku polskim.</w:t>
      </w:r>
    </w:p>
    <w:p w14:paraId="115F5549" w14:textId="77777777" w:rsidR="00393D3D" w:rsidRDefault="00393D3D" w:rsidP="00455D54">
      <w:pPr>
        <w:suppressAutoHyphens w:val="0"/>
        <w:autoSpaceDE w:val="0"/>
        <w:adjustRightInd w:val="0"/>
        <w:spacing w:before="53" w:line="274" w:lineRule="exact"/>
        <w:ind w:firstLine="6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B8C604" w14:textId="4F4B288C" w:rsidR="00455D54" w:rsidRPr="00A068F5" w:rsidRDefault="00455D54" w:rsidP="00455D54">
      <w:pPr>
        <w:suppressAutoHyphens w:val="0"/>
        <w:autoSpaceDE w:val="0"/>
        <w:adjustRightInd w:val="0"/>
        <w:spacing w:before="53" w:line="274" w:lineRule="exact"/>
        <w:ind w:firstLine="61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Nadzorcza:</w:t>
      </w:r>
    </w:p>
    <w:p w14:paraId="34917752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Członkowie Rady Nadzorczej Banku posiadają odpowiednie kompetencje do prowadzenia spraw oraz dają rękojmię należytego wykonywania powierzonych im obowiązków.</w:t>
      </w:r>
    </w:p>
    <w:p w14:paraId="4B9B65F8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kompetencje poszczególnych członków Rady Nadzorczej powinny uzupełniać się w taki sposób, aby umożliwiać zapewnienie odpowiedniego poziomu kolegialnego sprawowania nadzoru nad wszystkimi obszarami działania.</w:t>
      </w:r>
    </w:p>
    <w:p w14:paraId="23A3CB7D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Rada Nadzorcza oraz poszczególni jej członkowie przy wykonywaniu nadzoru kierują się obiektywną oceną i osądem.</w:t>
      </w:r>
    </w:p>
    <w:p w14:paraId="5DC23F91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Określony w Statucie skład liczebny Rady Nadzorczej jest adekwatny do charakteru i skali prowadzonej przez Bank działalności.</w:t>
      </w:r>
    </w:p>
    <w:p w14:paraId="000D909F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Członek Rady Nadzorczej powinien podejmować aktywność zawodową bez uszczerbku dla działalności w Radzie Nadzorczej Banku oraz z zachowaniem zasady unikania konfliktów interesów.</w:t>
      </w:r>
    </w:p>
    <w:p w14:paraId="2371C94E" w14:textId="09573FC6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Powyższe zasady reguluje Regulamin działania Rady Nadzorczej.</w:t>
      </w:r>
    </w:p>
    <w:p w14:paraId="5F4468E3" w14:textId="77777777" w:rsidR="00455D54" w:rsidRPr="004718E0" w:rsidRDefault="00455D54" w:rsidP="004718E0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8E0">
        <w:rPr>
          <w:rFonts w:ascii="Times New Roman" w:eastAsia="Times New Roman" w:hAnsi="Times New Roman"/>
          <w:sz w:val="24"/>
          <w:szCs w:val="24"/>
          <w:lang w:eastAsia="pl-PL"/>
        </w:rPr>
        <w:t>Posiedzenia Rady nadzorczej odbywają się w języku polskim.</w:t>
      </w:r>
    </w:p>
    <w:p w14:paraId="5E78B2B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6DFA8A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15FF8" w14:textId="77777777" w:rsidR="00455D54" w:rsidRPr="00A068F5" w:rsidRDefault="00455D54" w:rsidP="00455D54">
      <w:pPr>
        <w:suppressAutoHyphens w:val="0"/>
        <w:autoSpaceDE w:val="0"/>
        <w:adjustRightInd w:val="0"/>
        <w:spacing w:before="101" w:line="240" w:lineRule="auto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§7</w:t>
      </w:r>
    </w:p>
    <w:p w14:paraId="4E3B6CC8" w14:textId="77777777" w:rsidR="00455D54" w:rsidRPr="00A068F5" w:rsidRDefault="00455D54" w:rsidP="00455D54">
      <w:pPr>
        <w:suppressAutoHyphens w:val="0"/>
        <w:autoSpaceDE w:val="0"/>
        <w:adjustRightInd w:val="0"/>
        <w:spacing w:before="5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wynagradzania:</w:t>
      </w:r>
    </w:p>
    <w:p w14:paraId="14DA60F1" w14:textId="17136FF2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Bank prowadzi przejrzystą politykę wynagradzania członków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 xml:space="preserve">Rady Nadzorczej </w:t>
      </w: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br/>
        <w:t>i Zarządu, a także osób pełniących kluczowe funkcje. Zasady wynagradzania zostały określone w odpowiedniej regulacji wewnętrznej Banku.</w:t>
      </w:r>
    </w:p>
    <w:p w14:paraId="18C5CC74" w14:textId="77777777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Przy ustalaniu polityki wynagradzania uwzględniana jest sytuacja finansowa Banku.</w:t>
      </w:r>
    </w:p>
    <w:p w14:paraId="77413BE1" w14:textId="77777777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Rada Nadzorcza przygotowuje i przedstawia Zebraniu Przedstawicieli, raz w roku, raport z oceny funkcjonowania polityki wynagradzania w Banku.</w:t>
      </w:r>
    </w:p>
    <w:p w14:paraId="1CA31A5B" w14:textId="77777777" w:rsidR="004718E0" w:rsidRPr="00912D40" w:rsidRDefault="004718E0" w:rsidP="00F6753E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2D40">
        <w:rPr>
          <w:rFonts w:ascii="Times New Roman" w:eastAsia="Times New Roman" w:hAnsi="Times New Roman"/>
          <w:sz w:val="24"/>
          <w:szCs w:val="24"/>
          <w:lang w:eastAsia="pl-PL"/>
        </w:rPr>
        <w:t>Zebranie Przedstawicieli dokonuje oceny, czy ustalona polityka wynagradzania sprzyja rozwojowi i bezpieczeństwu działania Banku.</w:t>
      </w:r>
    </w:p>
    <w:p w14:paraId="33982DEB" w14:textId="77777777" w:rsidR="00455D54" w:rsidRPr="00A068F5" w:rsidRDefault="00455D54" w:rsidP="00F6753E">
      <w:pPr>
        <w:suppressAutoHyphens w:val="0"/>
        <w:autoSpaceDE w:val="0"/>
        <w:adjustRightInd w:val="0"/>
        <w:spacing w:line="240" w:lineRule="exact"/>
        <w:ind w:left="426" w:hanging="36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266FAD" w14:textId="77777777" w:rsidR="00455D54" w:rsidRPr="00A068F5" w:rsidRDefault="00455D54" w:rsidP="00455D54">
      <w:pPr>
        <w:suppressAutoHyphens w:val="0"/>
        <w:autoSpaceDE w:val="0"/>
        <w:adjustRightInd w:val="0"/>
        <w:spacing w:before="48" w:line="274" w:lineRule="exact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§8</w:t>
      </w:r>
    </w:p>
    <w:p w14:paraId="0D9741DA" w14:textId="77777777" w:rsidR="00455D54" w:rsidRPr="00A068F5" w:rsidRDefault="00455D54" w:rsidP="00455D54">
      <w:pPr>
        <w:suppressAutoHyphens w:val="0"/>
        <w:autoSpaceDE w:val="0"/>
        <w:adjustRightInd w:val="0"/>
        <w:spacing w:line="274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informacyjna:</w:t>
      </w:r>
    </w:p>
    <w:p w14:paraId="7EC6015D" w14:textId="10E6F1A1" w:rsidR="00455D54" w:rsidRPr="00A068F5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wdrożył Politykę informacyjną, zatwierdzoną i co najmniej raz w roku weryfikowaną</w:t>
      </w:r>
      <w:r w:rsidR="00F67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przez Radę Nadzorczą Banku.</w:t>
      </w:r>
    </w:p>
    <w:p w14:paraId="0D2F3D55" w14:textId="77777777" w:rsidR="00455D54" w:rsidRPr="00A068F5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before="5"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publikuje na tablicy ogłoszeń oraz na stronie internetowej wszystkie, wymagane przepisami prawa informacje.</w:t>
      </w:r>
    </w:p>
    <w:p w14:paraId="685092C2" w14:textId="63C6A8D5" w:rsidR="00455D54" w:rsidRPr="00A068F5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Zasady i terminy udzielania odpowiedzi udziałowcom oraz klientom reguluje Instrukcja rozpatrywania reklamacji w Banku Spółdzielczym w Legionowie</w:t>
      </w:r>
      <w:r w:rsidR="00056EC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05BDF3" w14:textId="54FBDC95" w:rsidR="00455D54" w:rsidRPr="00F6753E" w:rsidRDefault="00455D54" w:rsidP="00F6753E">
      <w:pPr>
        <w:widowControl w:val="0"/>
        <w:numPr>
          <w:ilvl w:val="0"/>
          <w:numId w:val="28"/>
        </w:numPr>
        <w:tabs>
          <w:tab w:val="left" w:pos="142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informacyjna Banku zapewnia ochronę informacji, zgodnie z przepisami</w:t>
      </w:r>
      <w:r w:rsidR="00F67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6753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6753E">
        <w:rPr>
          <w:rFonts w:ascii="Times New Roman" w:eastAsia="Times New Roman" w:hAnsi="Times New Roman"/>
          <w:sz w:val="24"/>
          <w:szCs w:val="24"/>
          <w:lang w:eastAsia="pl-PL"/>
        </w:rPr>
        <w:t>ew</w:t>
      </w:r>
      <w:r w:rsidRPr="00F6753E">
        <w:rPr>
          <w:rFonts w:ascii="Times New Roman" w:eastAsia="Times New Roman" w:hAnsi="Times New Roman"/>
          <w:sz w:val="24"/>
          <w:szCs w:val="24"/>
          <w:lang w:eastAsia="pl-PL"/>
        </w:rPr>
        <w:t>nętrznymi i zewnętrznymi.</w:t>
      </w:r>
    </w:p>
    <w:p w14:paraId="5F54C09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6DF664" w14:textId="77777777" w:rsidR="00455D54" w:rsidRPr="00A068F5" w:rsidRDefault="00455D54" w:rsidP="00455D54">
      <w:pPr>
        <w:suppressAutoHyphens w:val="0"/>
        <w:autoSpaceDE w:val="0"/>
        <w:adjustRightInd w:val="0"/>
        <w:spacing w:before="58" w:line="269" w:lineRule="exact"/>
        <w:jc w:val="center"/>
        <w:textAlignment w:val="auto"/>
        <w:rPr>
          <w:rFonts w:ascii="Times New Roman" w:eastAsia="Times New Roman" w:hAnsi="Times New Roman"/>
          <w:spacing w:val="60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pacing w:val="60"/>
          <w:sz w:val="24"/>
          <w:szCs w:val="24"/>
          <w:lang w:eastAsia="pl-PL"/>
        </w:rPr>
        <w:t>§9</w:t>
      </w:r>
    </w:p>
    <w:p w14:paraId="02922C61" w14:textId="77777777" w:rsidR="00455D54" w:rsidRPr="00A068F5" w:rsidRDefault="00455D54" w:rsidP="00455D54">
      <w:pPr>
        <w:suppressAutoHyphens w:val="0"/>
        <w:autoSpaceDE w:val="0"/>
        <w:adjustRightInd w:val="0"/>
        <w:spacing w:line="269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Działalność promocyjna i relacje z klientami:</w:t>
      </w:r>
    </w:p>
    <w:p w14:paraId="3CBD34BE" w14:textId="0B04B325" w:rsidR="00455D54" w:rsidRPr="00F6753E" w:rsidRDefault="00867254" w:rsidP="00F6753E">
      <w:pPr>
        <w:pStyle w:val="Akapitzlist"/>
        <w:numPr>
          <w:ilvl w:val="0"/>
          <w:numId w:val="29"/>
        </w:numPr>
        <w:tabs>
          <w:tab w:val="left" w:pos="360"/>
        </w:tabs>
        <w:suppressAutoHyphens w:val="0"/>
        <w:autoSpaceDE w:val="0"/>
        <w:adjustRightInd w:val="0"/>
        <w:spacing w:line="269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753E">
        <w:rPr>
          <w:rFonts w:ascii="Times New Roman" w:eastAsia="Times New Roman" w:hAnsi="Times New Roman"/>
          <w:sz w:val="24"/>
          <w:szCs w:val="24"/>
          <w:lang w:eastAsia="pl-PL"/>
        </w:rPr>
        <w:t>Działalność promocyjna i reklamowa Banku oraz wzajemne relacje z klientami Banku odbywają się z zachowaniem standardów dotyczących rzetelności, jakości, poszanowania powszechnie obowiązujących przepisów prawa, zasad uczciwego obrotu jak również dobrych obyczajów.</w:t>
      </w:r>
    </w:p>
    <w:p w14:paraId="483A5A5B" w14:textId="7777777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rzetelnie i w sposób przystępny dla przeciętnego odbiorcy informuje o oferowanym produkcie lub usłudze, w czasie umożliwiającym podjęcie decyzji.</w:t>
      </w:r>
    </w:p>
    <w:p w14:paraId="01A92CBB" w14:textId="223A55E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Bank posiada jasną 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>Instrukcję rozpatrywania reklamacji</w:t>
      </w:r>
      <w:r w:rsidR="00DB64C3"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147F3E" w:rsidRPr="00373B38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B64C3"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anku </w:t>
      </w:r>
      <w:r w:rsidR="00147F3E" w:rsidRPr="00373B3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DB64C3" w:rsidRPr="00373B38">
        <w:rPr>
          <w:rFonts w:ascii="Times New Roman" w:eastAsia="Times New Roman" w:hAnsi="Times New Roman"/>
          <w:sz w:val="24"/>
          <w:szCs w:val="24"/>
          <w:lang w:eastAsia="pl-PL"/>
        </w:rPr>
        <w:t>półdzielczym w Legionowie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Informacja o ww. zasadach znajduje się na tablicach ogłoszeń w miejscu wykonywania czynności oraz na stronie internetowej Banku.</w:t>
      </w:r>
    </w:p>
    <w:p w14:paraId="5225A2FA" w14:textId="7777777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Bank, dochodząc swoich roszczeń, w szczególności prowadząc działania windykacyjne wobec klientów działa profesjonalnie i dba o reputację instytucji zaufania publicznego.</w:t>
      </w:r>
    </w:p>
    <w:p w14:paraId="08EA2EA3" w14:textId="77777777" w:rsidR="00455D54" w:rsidRPr="00A068F5" w:rsidRDefault="00455D54" w:rsidP="00F6753E">
      <w:pPr>
        <w:widowControl w:val="0"/>
        <w:numPr>
          <w:ilvl w:val="0"/>
          <w:numId w:val="29"/>
        </w:numPr>
        <w:tabs>
          <w:tab w:val="left" w:pos="360"/>
          <w:tab w:val="left" w:pos="418"/>
        </w:tabs>
        <w:suppressAutoHyphens w:val="0"/>
        <w:autoSpaceDE w:val="0"/>
        <w:adjustRightInd w:val="0"/>
        <w:spacing w:before="77" w:line="274" w:lineRule="exact"/>
        <w:ind w:left="357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Bank przekazuje klientom wszystkie, niezbędne do podjęcia decyzji dokumenty związane z produktami bankowymi. W przypadku, gdyby dokumentacja wymagała uzupełnienia, zgodnie z przepisami prawa - Bank przekaże klientom dokumenty w uzgodniony z nimi sposób.</w:t>
      </w:r>
    </w:p>
    <w:p w14:paraId="1B0BCBAE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9188FC" w14:textId="77777777" w:rsidR="00455D54" w:rsidRPr="00A068F5" w:rsidRDefault="00455D54" w:rsidP="00455D54">
      <w:pPr>
        <w:suppressAutoHyphens w:val="0"/>
        <w:autoSpaceDE w:val="0"/>
        <w:adjustRightInd w:val="0"/>
        <w:spacing w:before="110" w:line="274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14:paraId="2040FCEC" w14:textId="77777777" w:rsidR="00455D54" w:rsidRPr="00A068F5" w:rsidRDefault="00455D54" w:rsidP="00410D04">
      <w:pPr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Kluczowe systemy i funkcje wewnętrzne:</w:t>
      </w:r>
    </w:p>
    <w:p w14:paraId="7833A73F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Bank posiada adekwatny, efektywny i skuteczny system kontroli wewnętrznej.</w:t>
      </w:r>
    </w:p>
    <w:p w14:paraId="70A420F5" w14:textId="2471F5D3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Zasady przeprowadzania kontroli wewnętrznej opisuje, zatwierdzony przez Radę Nadzorczą Regulamin kontroli wewnętrznej</w:t>
      </w:r>
      <w:r w:rsidR="0014792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4920CD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147922">
        <w:rPr>
          <w:rFonts w:ascii="Times New Roman" w:eastAsia="Times New Roman" w:hAnsi="Times New Roman"/>
          <w:sz w:val="24"/>
          <w:szCs w:val="24"/>
          <w:lang w:eastAsia="pl-PL"/>
        </w:rPr>
        <w:t xml:space="preserve">anku </w:t>
      </w:r>
      <w:r w:rsidR="004920C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147922">
        <w:rPr>
          <w:rFonts w:ascii="Times New Roman" w:eastAsia="Times New Roman" w:hAnsi="Times New Roman"/>
          <w:sz w:val="24"/>
          <w:szCs w:val="24"/>
          <w:lang w:eastAsia="pl-PL"/>
        </w:rPr>
        <w:t>półdzielczym w Legionowie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91479F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System kontroli wewnętrznej obejmuje wszystkie poziomy w strukturze organizacyjnej Banku.</w:t>
      </w:r>
    </w:p>
    <w:p w14:paraId="577578E6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 okresowo, zgodnie z Systemem Informacji Zarządczej dokonuje oceny mechanizmów oraz skuteczności kontroli wewnętrznej w oparciu o oceny wewnętrzne i zewnętrzne.</w:t>
      </w:r>
    </w:p>
    <w:p w14:paraId="50ABFD19" w14:textId="3854D6B6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Bank zapewnił niezależność funkcji zapewnienia zgodności na podstawie zapisów Regulaminu funkcjonowania </w:t>
      </w:r>
      <w:r w:rsidR="0091136B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ds. zgodności w Banku Spółdzielczym w Legionowie</w:t>
      </w:r>
    </w:p>
    <w:p w14:paraId="71199759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Audyt wewnętrzny w Banku wykonywany jest na podstawie art. 10. ust. 2 ustawy z dnia 10 sierpnia 1997 roku Prawo bankowe, na zasadach określonych w Umowie Systemu Ochrony Zrzeszenia BPS przez Spółdzielnię Systemu Ochrony Zrzeszenia BPS.</w:t>
      </w:r>
    </w:p>
    <w:p w14:paraId="7DD0276A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W Banku wdrożono adekwatny i skuteczny, dostosowany do skali, złożoności działalności i profilu ryzyka system zarządzania ryzykiem uwzględniający strategię zarządzania poszczególnymi rodzajami ryzyka obejmującą tolerancję na ryzyko określoną przez Bank.</w:t>
      </w:r>
    </w:p>
    <w:p w14:paraId="358517E7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Na proces zarządzania ryzykiem składa się jego identyfikacja, pomiar, szacowanie, monitorowanie oraz stosowanie mechanizmów kontrolujących i ograniczających zidentyfikowany, zmierzony lub oszacowany poziom ryzyka.</w:t>
      </w:r>
    </w:p>
    <w:p w14:paraId="4DF2BF46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before="5"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 skuteczność zarządzania ryzykiem odpowiada Zarząd. Członkowie Zarządu, uwzględniając charakter, skalę i złożoność prowadzonej działalności nie powinni łączyć odpowiedzialności za zarządzanie danym ryzykiem z odpowiedzialnością za obszar działalności generujący to ryzyko,</w:t>
      </w:r>
    </w:p>
    <w:p w14:paraId="74A0CFC5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Członkiem Zarządu nadzorującym zarządzanie istotnym ryzykiem w Banku, zgodnie z art. 22a ust. 4 ustawy Prawo bankowe  jest Prezes Zarządu.</w:t>
      </w:r>
    </w:p>
    <w:p w14:paraId="584FB59F" w14:textId="77777777" w:rsidR="00455D54" w:rsidRPr="00A068F5" w:rsidRDefault="00455D54" w:rsidP="00F6753E">
      <w:pPr>
        <w:widowControl w:val="0"/>
        <w:numPr>
          <w:ilvl w:val="0"/>
          <w:numId w:val="30"/>
        </w:numPr>
        <w:tabs>
          <w:tab w:val="left" w:pos="426"/>
        </w:tabs>
        <w:suppressAutoHyphens w:val="0"/>
        <w:autoSpaceDE w:val="0"/>
        <w:adjustRightInd w:val="0"/>
        <w:spacing w:line="274" w:lineRule="exact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 zatwierdza i nadzoruje realizację strategii zarządzania poszczególnymi rodzajami ryzyka, sprawując nadzór nad skutecznością zarządzania ryzykiem w oparciu o raporty generowane przez sprawny system informacji zarządczej.</w:t>
      </w:r>
    </w:p>
    <w:p w14:paraId="04F774C0" w14:textId="1BA5E8A6" w:rsidR="00455D54" w:rsidRPr="00A068F5" w:rsidRDefault="00455D54" w:rsidP="00455D54">
      <w:pPr>
        <w:suppressAutoHyphens w:val="0"/>
        <w:autoSpaceDE w:val="0"/>
        <w:adjustRightInd w:val="0"/>
        <w:spacing w:before="53" w:line="274" w:lineRule="exact"/>
        <w:ind w:right="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Rada Nadzorcza dokonuje regularnej oceny stosowania zasad ładu korporacyjnego, w cyklach określonych w Instrukcji sporządzania informacji zarządczej</w:t>
      </w:r>
      <w:r w:rsidR="004920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 xml:space="preserve"> a wyniki tej oceny są udostępniane na stronie internetowej Banku oraz przekazywane Zarządowi i udziałowcom podczas Zebrań Grup Członkowskich oraz podczas Zebrania Przedstawicieli.</w:t>
      </w:r>
    </w:p>
    <w:p w14:paraId="24469104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3600D3" w14:textId="77777777" w:rsidR="00455D54" w:rsidRPr="00A068F5" w:rsidRDefault="00455D54" w:rsidP="00455D54">
      <w:pPr>
        <w:suppressAutoHyphens w:val="0"/>
        <w:autoSpaceDE w:val="0"/>
        <w:adjustRightInd w:val="0"/>
        <w:spacing w:before="24" w:line="278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14:paraId="2CCA653C" w14:textId="0B5C7448" w:rsidR="00455D54" w:rsidRPr="00A068F5" w:rsidRDefault="00455D54" w:rsidP="00455D54">
      <w:pPr>
        <w:suppressAutoHyphens w:val="0"/>
        <w:autoSpaceDE w:val="0"/>
        <w:adjustRightInd w:val="0"/>
        <w:spacing w:line="278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Zarządzanie ładem korporacyjnym ma za zadanie m.in. unikanie konfliktów interesów, zdefiniowanych w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7C8C" w:rsidRPr="00373B38">
        <w:rPr>
          <w:rFonts w:ascii="Times New Roman" w:eastAsia="Times New Roman" w:hAnsi="Times New Roman"/>
          <w:sz w:val="24"/>
          <w:szCs w:val="24"/>
          <w:lang w:eastAsia="pl-PL"/>
        </w:rPr>
        <w:t>Kodeksie etyki Banku Spółdzielczego w Legionowie</w:t>
      </w:r>
      <w:r w:rsidRPr="00373B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9A8CAE" w14:textId="46DAF807" w:rsidR="00455D54" w:rsidRDefault="00455D54" w:rsidP="00455D54">
      <w:pPr>
        <w:suppressAutoHyphens w:val="0"/>
        <w:autoSpaceDE w:val="0"/>
        <w:adjustRightInd w:val="0"/>
        <w:spacing w:line="240" w:lineRule="exact"/>
        <w:ind w:right="5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6A0892" w14:textId="77777777" w:rsidR="004920CD" w:rsidRPr="00A068F5" w:rsidRDefault="004920CD" w:rsidP="00455D54">
      <w:pPr>
        <w:suppressAutoHyphens w:val="0"/>
        <w:autoSpaceDE w:val="0"/>
        <w:adjustRightInd w:val="0"/>
        <w:spacing w:line="240" w:lineRule="exact"/>
        <w:ind w:right="5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13DFE8" w14:textId="77777777" w:rsidR="00455D54" w:rsidRPr="00A068F5" w:rsidRDefault="00455D54" w:rsidP="00455D54">
      <w:pPr>
        <w:suppressAutoHyphens w:val="0"/>
        <w:autoSpaceDE w:val="0"/>
        <w:adjustRightInd w:val="0"/>
        <w:spacing w:before="24" w:line="278" w:lineRule="exact"/>
        <w:ind w:right="5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§13</w:t>
      </w:r>
    </w:p>
    <w:p w14:paraId="4C8181F3" w14:textId="345B699B" w:rsidR="00455D54" w:rsidRPr="00A068F5" w:rsidRDefault="00455D54" w:rsidP="00455D54">
      <w:pPr>
        <w:suppressAutoHyphens w:val="0"/>
        <w:autoSpaceDE w:val="0"/>
        <w:adjustRightInd w:val="0"/>
        <w:spacing w:line="278" w:lineRule="exac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Przestrzeganie Zasad ładu korporacyjnego poddawane jest ocenie w ramach audytu wewnętrznego.</w:t>
      </w:r>
    </w:p>
    <w:p w14:paraId="1F6329BC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4DEB3" w14:textId="77777777" w:rsidR="00455D54" w:rsidRPr="00A068F5" w:rsidRDefault="00455D54" w:rsidP="00455D54">
      <w:pPr>
        <w:suppressAutoHyphens w:val="0"/>
        <w:autoSpaceDE w:val="0"/>
        <w:adjustRightInd w:val="0"/>
        <w:spacing w:before="29" w:line="274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§14</w:t>
      </w:r>
    </w:p>
    <w:p w14:paraId="7F2044DA" w14:textId="77777777" w:rsidR="00455D54" w:rsidRPr="00A068F5" w:rsidRDefault="00455D54" w:rsidP="00410D04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Niniejsza Polityka podlega okresowym przeglądom oraz ocenie jej realizacji przez Radę Nadzorczą, zgodnie z zapisami Instrukcji sporządzania informacji zarządczej.</w:t>
      </w:r>
    </w:p>
    <w:p w14:paraId="13FE5882" w14:textId="77777777" w:rsidR="00455D54" w:rsidRPr="00A068F5" w:rsidRDefault="00455D54" w:rsidP="00410D04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Polityka przestrzegania zasad ładu korporacyjnego wchodzi w życie z dniem podjęcia uchwały przez Radę Nadzorczą.</w:t>
      </w:r>
    </w:p>
    <w:p w14:paraId="1F9629B4" w14:textId="77777777" w:rsidR="00455D54" w:rsidRPr="00A068F5" w:rsidRDefault="00455D54" w:rsidP="00410D04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autoSpaceDE w:val="0"/>
        <w:adjustRightInd w:val="0"/>
        <w:spacing w:line="274" w:lineRule="exact"/>
        <w:ind w:left="426" w:hanging="426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8F5">
        <w:rPr>
          <w:rFonts w:ascii="Times New Roman" w:eastAsia="Times New Roman" w:hAnsi="Times New Roman"/>
          <w:sz w:val="24"/>
          <w:szCs w:val="24"/>
          <w:lang w:eastAsia="pl-PL"/>
        </w:rPr>
        <w:t>Niniejsza Polityka   oraz wyniki oceny jej przestrzegania podlegają publikacji na stronie internetowej Banku.</w:t>
      </w:r>
    </w:p>
    <w:p w14:paraId="5ECA93E3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985FD5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A1253B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1DFA69" w14:textId="77777777" w:rsidR="00455D54" w:rsidRPr="00A068F5" w:rsidRDefault="00455D54" w:rsidP="00455D54">
      <w:pPr>
        <w:suppressAutoHyphens w:val="0"/>
        <w:autoSpaceDE w:val="0"/>
        <w:adjustRightInd w:val="0"/>
        <w:spacing w:line="240" w:lineRule="exact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249A9" w14:textId="3E1EED82" w:rsidR="00676773" w:rsidRPr="00A068F5" w:rsidRDefault="00676773" w:rsidP="00455D54">
      <w:pPr>
        <w:pStyle w:val="Tytu"/>
        <w:spacing w:after="120"/>
      </w:pPr>
    </w:p>
    <w:sectPr w:rsidR="00676773" w:rsidRPr="00A068F5" w:rsidSect="00807E12">
      <w:footerReference w:type="default" r:id="rId10"/>
      <w:pgSz w:w="11906" w:h="16838"/>
      <w:pgMar w:top="1417" w:right="1417" w:bottom="1702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1B91" w14:textId="77777777" w:rsidR="00E50FE6" w:rsidRDefault="00E50FE6">
      <w:pPr>
        <w:spacing w:line="240" w:lineRule="auto"/>
      </w:pPr>
      <w:r>
        <w:separator/>
      </w:r>
    </w:p>
  </w:endnote>
  <w:endnote w:type="continuationSeparator" w:id="0">
    <w:p w14:paraId="53BA0BF8" w14:textId="77777777" w:rsidR="00E50FE6" w:rsidRDefault="00E50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02892095"/>
      <w:docPartObj>
        <w:docPartGallery w:val="Page Numbers (Bottom of Page)"/>
        <w:docPartUnique/>
      </w:docPartObj>
    </w:sdtPr>
    <w:sdtEndPr/>
    <w:sdtContent>
      <w:p w14:paraId="4C127D14" w14:textId="77777777" w:rsidR="00CC1E08" w:rsidRPr="00807E12" w:rsidRDefault="00CC1E08">
        <w:pPr>
          <w:pStyle w:val="Stopka"/>
          <w:jc w:val="right"/>
          <w:rPr>
            <w:rFonts w:ascii="Times New Roman" w:hAnsi="Times New Roman"/>
          </w:rPr>
        </w:pPr>
        <w:r w:rsidRPr="00807E12">
          <w:rPr>
            <w:rFonts w:ascii="Times New Roman" w:hAnsi="Times New Roman"/>
          </w:rPr>
          <w:fldChar w:fldCharType="begin"/>
        </w:r>
        <w:r w:rsidRPr="00807E12">
          <w:rPr>
            <w:rFonts w:ascii="Times New Roman" w:hAnsi="Times New Roman"/>
          </w:rPr>
          <w:instrText>PAGE   \* MERGEFORMAT</w:instrText>
        </w:r>
        <w:r w:rsidRPr="00807E12">
          <w:rPr>
            <w:rFonts w:ascii="Times New Roman" w:hAnsi="Times New Roman"/>
          </w:rPr>
          <w:fldChar w:fldCharType="separate"/>
        </w:r>
        <w:r w:rsidR="00D946C9">
          <w:rPr>
            <w:rFonts w:ascii="Times New Roman" w:hAnsi="Times New Roman"/>
            <w:noProof/>
          </w:rPr>
          <w:t>5</w:t>
        </w:r>
        <w:r w:rsidRPr="00807E12">
          <w:rPr>
            <w:rFonts w:ascii="Times New Roman" w:hAnsi="Times New Roman"/>
          </w:rPr>
          <w:fldChar w:fldCharType="end"/>
        </w:r>
      </w:p>
    </w:sdtContent>
  </w:sdt>
  <w:p w14:paraId="7C553B0F" w14:textId="77777777" w:rsidR="00CC1E08" w:rsidRDefault="00CC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30A" w14:textId="77777777" w:rsidR="00E50FE6" w:rsidRDefault="00E50FE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42828E0" w14:textId="77777777" w:rsidR="00E50FE6" w:rsidRDefault="00E50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004"/>
    <w:multiLevelType w:val="hybridMultilevel"/>
    <w:tmpl w:val="6FB4AD28"/>
    <w:lvl w:ilvl="0" w:tplc="4410AEB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1DB"/>
    <w:multiLevelType w:val="singleLevel"/>
    <w:tmpl w:val="FFC4B7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Theme="minorEastAsia" w:hAnsi="Times New Roman" w:cs="Times New Roman"/>
      </w:rPr>
    </w:lvl>
  </w:abstractNum>
  <w:abstractNum w:abstractNumId="2" w15:restartNumberingAfterBreak="0">
    <w:nsid w:val="06127F6C"/>
    <w:multiLevelType w:val="hybridMultilevel"/>
    <w:tmpl w:val="7B4E00CA"/>
    <w:lvl w:ilvl="0" w:tplc="8C54E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793"/>
    <w:multiLevelType w:val="hybridMultilevel"/>
    <w:tmpl w:val="11A67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3BF8"/>
    <w:multiLevelType w:val="hybridMultilevel"/>
    <w:tmpl w:val="926CDE20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EF3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AC53AB"/>
    <w:multiLevelType w:val="singleLevel"/>
    <w:tmpl w:val="9CB0A7C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F463CF"/>
    <w:multiLevelType w:val="singleLevel"/>
    <w:tmpl w:val="AF5E41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DC198A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0B1559"/>
    <w:multiLevelType w:val="hybridMultilevel"/>
    <w:tmpl w:val="33B63B4A"/>
    <w:lvl w:ilvl="0" w:tplc="92E28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37BC"/>
    <w:multiLevelType w:val="hybridMultilevel"/>
    <w:tmpl w:val="B33C861C"/>
    <w:lvl w:ilvl="0" w:tplc="4410AEB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44F6F"/>
    <w:multiLevelType w:val="hybridMultilevel"/>
    <w:tmpl w:val="30B4FAB2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16EA2"/>
    <w:multiLevelType w:val="hybridMultilevel"/>
    <w:tmpl w:val="3D68239E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316B"/>
    <w:multiLevelType w:val="singleLevel"/>
    <w:tmpl w:val="1456934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AF2B1A"/>
    <w:multiLevelType w:val="singleLevel"/>
    <w:tmpl w:val="830E1A8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1A0D75"/>
    <w:multiLevelType w:val="hybridMultilevel"/>
    <w:tmpl w:val="94EED99C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4892"/>
    <w:multiLevelType w:val="singleLevel"/>
    <w:tmpl w:val="B7802B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D63EAB"/>
    <w:multiLevelType w:val="singleLevel"/>
    <w:tmpl w:val="B164E2DE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9613BA"/>
    <w:multiLevelType w:val="hybridMultilevel"/>
    <w:tmpl w:val="F024222A"/>
    <w:lvl w:ilvl="0" w:tplc="4410AEB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85A21"/>
    <w:multiLevelType w:val="hybridMultilevel"/>
    <w:tmpl w:val="DA24347A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A0874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173C45"/>
    <w:multiLevelType w:val="hybridMultilevel"/>
    <w:tmpl w:val="C1FA1648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3055"/>
    <w:multiLevelType w:val="hybridMultilevel"/>
    <w:tmpl w:val="2CD0AAF4"/>
    <w:lvl w:ilvl="0" w:tplc="C5500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D4D3B"/>
    <w:multiLevelType w:val="multilevel"/>
    <w:tmpl w:val="A46415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F0884"/>
    <w:multiLevelType w:val="singleLevel"/>
    <w:tmpl w:val="B7802B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9F50C2"/>
    <w:multiLevelType w:val="hybridMultilevel"/>
    <w:tmpl w:val="C86663B8"/>
    <w:lvl w:ilvl="0" w:tplc="4410AEB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75C97"/>
    <w:multiLevelType w:val="singleLevel"/>
    <w:tmpl w:val="C2B2DB62"/>
    <w:lvl w:ilvl="0">
      <w:start w:val="1"/>
      <w:numFmt w:val="low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C826ABA"/>
    <w:multiLevelType w:val="singleLevel"/>
    <w:tmpl w:val="352643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C24E4A"/>
    <w:multiLevelType w:val="hybridMultilevel"/>
    <w:tmpl w:val="AA3AF248"/>
    <w:lvl w:ilvl="0" w:tplc="DF30BE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04437">
    <w:abstractNumId w:val="13"/>
  </w:num>
  <w:num w:numId="2" w16cid:durableId="1578440988">
    <w:abstractNumId w:val="5"/>
  </w:num>
  <w:num w:numId="3" w16cid:durableId="432406617">
    <w:abstractNumId w:val="5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 w16cid:durableId="1626735379">
    <w:abstractNumId w:val="26"/>
  </w:num>
  <w:num w:numId="5" w16cid:durableId="334457533">
    <w:abstractNumId w:val="17"/>
  </w:num>
  <w:num w:numId="6" w16cid:durableId="225920446">
    <w:abstractNumId w:val="17"/>
    <w:lvlOverride w:ilvl="0">
      <w:lvl w:ilvl="0">
        <w:start w:val="8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 w16cid:durableId="1768187410">
    <w:abstractNumId w:val="27"/>
  </w:num>
  <w:num w:numId="8" w16cid:durableId="271206891">
    <w:abstractNumId w:val="20"/>
  </w:num>
  <w:num w:numId="9" w16cid:durableId="1556697909">
    <w:abstractNumId w:val="1"/>
  </w:num>
  <w:num w:numId="10" w16cid:durableId="131338245">
    <w:abstractNumId w:val="7"/>
  </w:num>
  <w:num w:numId="11" w16cid:durableId="833228321">
    <w:abstractNumId w:val="8"/>
  </w:num>
  <w:num w:numId="12" w16cid:durableId="1045562489">
    <w:abstractNumId w:val="6"/>
  </w:num>
  <w:num w:numId="13" w16cid:durableId="1280529930">
    <w:abstractNumId w:val="16"/>
  </w:num>
  <w:num w:numId="14" w16cid:durableId="1819951872">
    <w:abstractNumId w:val="24"/>
  </w:num>
  <w:num w:numId="15" w16cid:durableId="318273996">
    <w:abstractNumId w:val="10"/>
  </w:num>
  <w:num w:numId="16" w16cid:durableId="1800024558">
    <w:abstractNumId w:val="4"/>
  </w:num>
  <w:num w:numId="17" w16cid:durableId="1313481416">
    <w:abstractNumId w:val="2"/>
  </w:num>
  <w:num w:numId="18" w16cid:durableId="1264341988">
    <w:abstractNumId w:val="22"/>
  </w:num>
  <w:num w:numId="19" w16cid:durableId="1854412609">
    <w:abstractNumId w:val="3"/>
  </w:num>
  <w:num w:numId="20" w16cid:durableId="723019745">
    <w:abstractNumId w:val="23"/>
  </w:num>
  <w:num w:numId="21" w16cid:durableId="2011443907">
    <w:abstractNumId w:val="19"/>
  </w:num>
  <w:num w:numId="22" w16cid:durableId="1953201741">
    <w:abstractNumId w:val="15"/>
  </w:num>
  <w:num w:numId="23" w16cid:durableId="675501122">
    <w:abstractNumId w:val="12"/>
  </w:num>
  <w:num w:numId="24" w16cid:durableId="413094751">
    <w:abstractNumId w:val="9"/>
  </w:num>
  <w:num w:numId="25" w16cid:durableId="1182233451">
    <w:abstractNumId w:val="18"/>
  </w:num>
  <w:num w:numId="26" w16cid:durableId="774206464">
    <w:abstractNumId w:val="14"/>
  </w:num>
  <w:num w:numId="27" w16cid:durableId="1291322226">
    <w:abstractNumId w:val="0"/>
  </w:num>
  <w:num w:numId="28" w16cid:durableId="1111901698">
    <w:abstractNumId w:val="25"/>
  </w:num>
  <w:num w:numId="29" w16cid:durableId="298078325">
    <w:abstractNumId w:val="21"/>
  </w:num>
  <w:num w:numId="30" w16cid:durableId="953558184">
    <w:abstractNumId w:val="11"/>
  </w:num>
  <w:num w:numId="31" w16cid:durableId="2951850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73"/>
    <w:rsid w:val="00016F3F"/>
    <w:rsid w:val="00020818"/>
    <w:rsid w:val="00024F4F"/>
    <w:rsid w:val="0003367D"/>
    <w:rsid w:val="00033A93"/>
    <w:rsid w:val="000428A7"/>
    <w:rsid w:val="000457FD"/>
    <w:rsid w:val="00047227"/>
    <w:rsid w:val="000476BC"/>
    <w:rsid w:val="00052CF7"/>
    <w:rsid w:val="0005457F"/>
    <w:rsid w:val="00056EC4"/>
    <w:rsid w:val="00065AA7"/>
    <w:rsid w:val="00073CB9"/>
    <w:rsid w:val="0007449B"/>
    <w:rsid w:val="00077E4E"/>
    <w:rsid w:val="00082B93"/>
    <w:rsid w:val="0008450B"/>
    <w:rsid w:val="00095B34"/>
    <w:rsid w:val="000C12E5"/>
    <w:rsid w:val="000E6BB3"/>
    <w:rsid w:val="000F5991"/>
    <w:rsid w:val="000F7797"/>
    <w:rsid w:val="00100E76"/>
    <w:rsid w:val="0012223D"/>
    <w:rsid w:val="00135D99"/>
    <w:rsid w:val="00147922"/>
    <w:rsid w:val="00147F3E"/>
    <w:rsid w:val="001573F8"/>
    <w:rsid w:val="00160A24"/>
    <w:rsid w:val="0017238C"/>
    <w:rsid w:val="00185110"/>
    <w:rsid w:val="001857EB"/>
    <w:rsid w:val="001859AC"/>
    <w:rsid w:val="001A689F"/>
    <w:rsid w:val="001B320A"/>
    <w:rsid w:val="001B6FDF"/>
    <w:rsid w:val="001C7ED1"/>
    <w:rsid w:val="001F0993"/>
    <w:rsid w:val="00201A11"/>
    <w:rsid w:val="00204487"/>
    <w:rsid w:val="002162A4"/>
    <w:rsid w:val="002228EC"/>
    <w:rsid w:val="0022523C"/>
    <w:rsid w:val="0023293C"/>
    <w:rsid w:val="0026211B"/>
    <w:rsid w:val="002623FA"/>
    <w:rsid w:val="00263706"/>
    <w:rsid w:val="00271555"/>
    <w:rsid w:val="00272B89"/>
    <w:rsid w:val="0027487C"/>
    <w:rsid w:val="00274DBE"/>
    <w:rsid w:val="00275210"/>
    <w:rsid w:val="002946C7"/>
    <w:rsid w:val="002A7D84"/>
    <w:rsid w:val="002F2720"/>
    <w:rsid w:val="002F5E00"/>
    <w:rsid w:val="0030188E"/>
    <w:rsid w:val="003103FC"/>
    <w:rsid w:val="00321A25"/>
    <w:rsid w:val="0032522F"/>
    <w:rsid w:val="00330B83"/>
    <w:rsid w:val="00332C38"/>
    <w:rsid w:val="00333490"/>
    <w:rsid w:val="003341A2"/>
    <w:rsid w:val="00351C48"/>
    <w:rsid w:val="00364570"/>
    <w:rsid w:val="00365F87"/>
    <w:rsid w:val="00366D6F"/>
    <w:rsid w:val="00367DFE"/>
    <w:rsid w:val="00371FC3"/>
    <w:rsid w:val="00373B38"/>
    <w:rsid w:val="003835F1"/>
    <w:rsid w:val="00383C6D"/>
    <w:rsid w:val="00385882"/>
    <w:rsid w:val="00393D3D"/>
    <w:rsid w:val="00394748"/>
    <w:rsid w:val="003A0BE9"/>
    <w:rsid w:val="003A5E98"/>
    <w:rsid w:val="003A6B69"/>
    <w:rsid w:val="003A7F8A"/>
    <w:rsid w:val="003B02B4"/>
    <w:rsid w:val="003B0C26"/>
    <w:rsid w:val="003B3179"/>
    <w:rsid w:val="003D432B"/>
    <w:rsid w:val="003D4866"/>
    <w:rsid w:val="003E3289"/>
    <w:rsid w:val="003E57C9"/>
    <w:rsid w:val="003E5CFB"/>
    <w:rsid w:val="003F5AFB"/>
    <w:rsid w:val="00401D10"/>
    <w:rsid w:val="00404AB2"/>
    <w:rsid w:val="004108BC"/>
    <w:rsid w:val="00410D04"/>
    <w:rsid w:val="00414517"/>
    <w:rsid w:val="00417864"/>
    <w:rsid w:val="0043009E"/>
    <w:rsid w:val="00430D49"/>
    <w:rsid w:val="00434655"/>
    <w:rsid w:val="00435873"/>
    <w:rsid w:val="00436463"/>
    <w:rsid w:val="00455D54"/>
    <w:rsid w:val="0045610F"/>
    <w:rsid w:val="00457AB1"/>
    <w:rsid w:val="00471311"/>
    <w:rsid w:val="004718E0"/>
    <w:rsid w:val="00481277"/>
    <w:rsid w:val="004835CD"/>
    <w:rsid w:val="0048742A"/>
    <w:rsid w:val="004920CD"/>
    <w:rsid w:val="004A1E1E"/>
    <w:rsid w:val="004A3312"/>
    <w:rsid w:val="004A7C8C"/>
    <w:rsid w:val="004B79E5"/>
    <w:rsid w:val="004C7228"/>
    <w:rsid w:val="004D006C"/>
    <w:rsid w:val="004D58F8"/>
    <w:rsid w:val="004F017F"/>
    <w:rsid w:val="004F06B9"/>
    <w:rsid w:val="004F5FC7"/>
    <w:rsid w:val="005005EC"/>
    <w:rsid w:val="00500BCA"/>
    <w:rsid w:val="00510AEB"/>
    <w:rsid w:val="00511221"/>
    <w:rsid w:val="00520C34"/>
    <w:rsid w:val="0052414F"/>
    <w:rsid w:val="00556959"/>
    <w:rsid w:val="0056219D"/>
    <w:rsid w:val="005826B1"/>
    <w:rsid w:val="00595148"/>
    <w:rsid w:val="005959D3"/>
    <w:rsid w:val="005A4E45"/>
    <w:rsid w:val="005B26C1"/>
    <w:rsid w:val="005C1AD3"/>
    <w:rsid w:val="005C6F7E"/>
    <w:rsid w:val="005D44B0"/>
    <w:rsid w:val="005D51DD"/>
    <w:rsid w:val="005E742E"/>
    <w:rsid w:val="005F410F"/>
    <w:rsid w:val="005F6730"/>
    <w:rsid w:val="00605D4B"/>
    <w:rsid w:val="006138D5"/>
    <w:rsid w:val="00620CFD"/>
    <w:rsid w:val="006222C3"/>
    <w:rsid w:val="00642F05"/>
    <w:rsid w:val="00660BE2"/>
    <w:rsid w:val="00661BDC"/>
    <w:rsid w:val="00664B1D"/>
    <w:rsid w:val="006712D9"/>
    <w:rsid w:val="00671B8F"/>
    <w:rsid w:val="006720EF"/>
    <w:rsid w:val="00676773"/>
    <w:rsid w:val="00691B28"/>
    <w:rsid w:val="006954FF"/>
    <w:rsid w:val="006A1509"/>
    <w:rsid w:val="006B4DCE"/>
    <w:rsid w:val="006C6492"/>
    <w:rsid w:val="006D0DE1"/>
    <w:rsid w:val="006D157D"/>
    <w:rsid w:val="006D1A60"/>
    <w:rsid w:val="006D5408"/>
    <w:rsid w:val="006D5B22"/>
    <w:rsid w:val="006F1BC7"/>
    <w:rsid w:val="006F20A8"/>
    <w:rsid w:val="006F43F7"/>
    <w:rsid w:val="00701C47"/>
    <w:rsid w:val="0070264C"/>
    <w:rsid w:val="0071672F"/>
    <w:rsid w:val="007222B4"/>
    <w:rsid w:val="007235C2"/>
    <w:rsid w:val="0072672F"/>
    <w:rsid w:val="00740D9A"/>
    <w:rsid w:val="00741BBD"/>
    <w:rsid w:val="0075246A"/>
    <w:rsid w:val="0075326C"/>
    <w:rsid w:val="00755254"/>
    <w:rsid w:val="00755A16"/>
    <w:rsid w:val="00770294"/>
    <w:rsid w:val="00781EE4"/>
    <w:rsid w:val="00782F98"/>
    <w:rsid w:val="00787428"/>
    <w:rsid w:val="00791470"/>
    <w:rsid w:val="00792303"/>
    <w:rsid w:val="00794057"/>
    <w:rsid w:val="007964E4"/>
    <w:rsid w:val="007B46C6"/>
    <w:rsid w:val="007D2A67"/>
    <w:rsid w:val="007E71B1"/>
    <w:rsid w:val="007F1E9C"/>
    <w:rsid w:val="008048C1"/>
    <w:rsid w:val="008055B4"/>
    <w:rsid w:val="00806BD7"/>
    <w:rsid w:val="00807E12"/>
    <w:rsid w:val="00814E23"/>
    <w:rsid w:val="008170EF"/>
    <w:rsid w:val="00821EEB"/>
    <w:rsid w:val="008319E8"/>
    <w:rsid w:val="0083678F"/>
    <w:rsid w:val="00841CBB"/>
    <w:rsid w:val="0086604D"/>
    <w:rsid w:val="00867254"/>
    <w:rsid w:val="0086792D"/>
    <w:rsid w:val="00882070"/>
    <w:rsid w:val="00897AAB"/>
    <w:rsid w:val="008A3EFC"/>
    <w:rsid w:val="008A6FBF"/>
    <w:rsid w:val="008B6DBD"/>
    <w:rsid w:val="008D20B7"/>
    <w:rsid w:val="008D5FBD"/>
    <w:rsid w:val="008E094B"/>
    <w:rsid w:val="008F0130"/>
    <w:rsid w:val="008F0826"/>
    <w:rsid w:val="008F383C"/>
    <w:rsid w:val="008F3B84"/>
    <w:rsid w:val="00910B62"/>
    <w:rsid w:val="0091136B"/>
    <w:rsid w:val="00913CBC"/>
    <w:rsid w:val="00913CE6"/>
    <w:rsid w:val="0092430D"/>
    <w:rsid w:val="00926FD8"/>
    <w:rsid w:val="00930370"/>
    <w:rsid w:val="00931769"/>
    <w:rsid w:val="009408EF"/>
    <w:rsid w:val="00941630"/>
    <w:rsid w:val="00941ACF"/>
    <w:rsid w:val="00941CE1"/>
    <w:rsid w:val="00944C95"/>
    <w:rsid w:val="009465F6"/>
    <w:rsid w:val="00950327"/>
    <w:rsid w:val="00952EA1"/>
    <w:rsid w:val="00954D4B"/>
    <w:rsid w:val="00964AFC"/>
    <w:rsid w:val="009810E2"/>
    <w:rsid w:val="0098352B"/>
    <w:rsid w:val="00990B68"/>
    <w:rsid w:val="00997337"/>
    <w:rsid w:val="009C738E"/>
    <w:rsid w:val="009D37E2"/>
    <w:rsid w:val="009E2BE5"/>
    <w:rsid w:val="009E3151"/>
    <w:rsid w:val="009E520B"/>
    <w:rsid w:val="00A05B04"/>
    <w:rsid w:val="00A068F5"/>
    <w:rsid w:val="00A2005B"/>
    <w:rsid w:val="00A21455"/>
    <w:rsid w:val="00A22DD7"/>
    <w:rsid w:val="00A25CB4"/>
    <w:rsid w:val="00A508FC"/>
    <w:rsid w:val="00A541FC"/>
    <w:rsid w:val="00A55FB2"/>
    <w:rsid w:val="00A74999"/>
    <w:rsid w:val="00A76B72"/>
    <w:rsid w:val="00A82823"/>
    <w:rsid w:val="00A92452"/>
    <w:rsid w:val="00AB4349"/>
    <w:rsid w:val="00AC0A1A"/>
    <w:rsid w:val="00AE3967"/>
    <w:rsid w:val="00AF2FEB"/>
    <w:rsid w:val="00AF7FFB"/>
    <w:rsid w:val="00B1154A"/>
    <w:rsid w:val="00B13B52"/>
    <w:rsid w:val="00B13CC1"/>
    <w:rsid w:val="00B13D26"/>
    <w:rsid w:val="00B20439"/>
    <w:rsid w:val="00B411F2"/>
    <w:rsid w:val="00B46B9E"/>
    <w:rsid w:val="00B54935"/>
    <w:rsid w:val="00B54B4E"/>
    <w:rsid w:val="00B677F1"/>
    <w:rsid w:val="00B72C10"/>
    <w:rsid w:val="00B73C32"/>
    <w:rsid w:val="00B74A29"/>
    <w:rsid w:val="00B8100E"/>
    <w:rsid w:val="00B9286C"/>
    <w:rsid w:val="00B9334F"/>
    <w:rsid w:val="00B93A25"/>
    <w:rsid w:val="00BA08DD"/>
    <w:rsid w:val="00BA67F2"/>
    <w:rsid w:val="00BC25C0"/>
    <w:rsid w:val="00BE0A0A"/>
    <w:rsid w:val="00BE36C8"/>
    <w:rsid w:val="00BE414C"/>
    <w:rsid w:val="00BE6289"/>
    <w:rsid w:val="00BF0FCD"/>
    <w:rsid w:val="00BF4015"/>
    <w:rsid w:val="00BF4036"/>
    <w:rsid w:val="00BF4527"/>
    <w:rsid w:val="00BF5452"/>
    <w:rsid w:val="00C02D5D"/>
    <w:rsid w:val="00C209D8"/>
    <w:rsid w:val="00C51C86"/>
    <w:rsid w:val="00C52504"/>
    <w:rsid w:val="00C65CFE"/>
    <w:rsid w:val="00C736A3"/>
    <w:rsid w:val="00C77F3C"/>
    <w:rsid w:val="00C81A19"/>
    <w:rsid w:val="00C82E5F"/>
    <w:rsid w:val="00C94631"/>
    <w:rsid w:val="00CA277A"/>
    <w:rsid w:val="00CB0B36"/>
    <w:rsid w:val="00CC1E08"/>
    <w:rsid w:val="00CC2550"/>
    <w:rsid w:val="00CC2781"/>
    <w:rsid w:val="00CC5365"/>
    <w:rsid w:val="00CC54EB"/>
    <w:rsid w:val="00CD044A"/>
    <w:rsid w:val="00CD5C9F"/>
    <w:rsid w:val="00CD7602"/>
    <w:rsid w:val="00D055E3"/>
    <w:rsid w:val="00D0742B"/>
    <w:rsid w:val="00D1287E"/>
    <w:rsid w:val="00D23505"/>
    <w:rsid w:val="00D238F2"/>
    <w:rsid w:val="00D57169"/>
    <w:rsid w:val="00D73CF4"/>
    <w:rsid w:val="00D77701"/>
    <w:rsid w:val="00D90BB6"/>
    <w:rsid w:val="00D946C9"/>
    <w:rsid w:val="00DB64C3"/>
    <w:rsid w:val="00DD5CF9"/>
    <w:rsid w:val="00DE33DE"/>
    <w:rsid w:val="00DE662D"/>
    <w:rsid w:val="00E04081"/>
    <w:rsid w:val="00E058D6"/>
    <w:rsid w:val="00E06E9C"/>
    <w:rsid w:val="00E209AB"/>
    <w:rsid w:val="00E37A3D"/>
    <w:rsid w:val="00E50FE6"/>
    <w:rsid w:val="00E5120F"/>
    <w:rsid w:val="00E55593"/>
    <w:rsid w:val="00E5703B"/>
    <w:rsid w:val="00E63665"/>
    <w:rsid w:val="00E713EB"/>
    <w:rsid w:val="00E76484"/>
    <w:rsid w:val="00E81B7D"/>
    <w:rsid w:val="00E820F1"/>
    <w:rsid w:val="00E84BA6"/>
    <w:rsid w:val="00E87B55"/>
    <w:rsid w:val="00EA362C"/>
    <w:rsid w:val="00EA6040"/>
    <w:rsid w:val="00EB0A04"/>
    <w:rsid w:val="00EB67A6"/>
    <w:rsid w:val="00EB6CEE"/>
    <w:rsid w:val="00EC02BC"/>
    <w:rsid w:val="00EC13AA"/>
    <w:rsid w:val="00ED6002"/>
    <w:rsid w:val="00EE0140"/>
    <w:rsid w:val="00EE502D"/>
    <w:rsid w:val="00EF043B"/>
    <w:rsid w:val="00EF73F3"/>
    <w:rsid w:val="00F00EB3"/>
    <w:rsid w:val="00F0545F"/>
    <w:rsid w:val="00F43ABA"/>
    <w:rsid w:val="00F441C3"/>
    <w:rsid w:val="00F47F68"/>
    <w:rsid w:val="00F50E80"/>
    <w:rsid w:val="00F63641"/>
    <w:rsid w:val="00F669FF"/>
    <w:rsid w:val="00F6753E"/>
    <w:rsid w:val="00F8056E"/>
    <w:rsid w:val="00F8554C"/>
    <w:rsid w:val="00F8739F"/>
    <w:rsid w:val="00F97342"/>
    <w:rsid w:val="00FB1975"/>
    <w:rsid w:val="00FB3541"/>
    <w:rsid w:val="00FC4D76"/>
    <w:rsid w:val="00FD27D8"/>
    <w:rsid w:val="00FD5376"/>
    <w:rsid w:val="00FD7E82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EEED"/>
  <w15:docId w15:val="{2875156E-464D-4E54-A31E-256A072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D37E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C6F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7E"/>
  </w:style>
  <w:style w:type="paragraph" w:styleId="Stopka">
    <w:name w:val="footer"/>
    <w:basedOn w:val="Normalny"/>
    <w:link w:val="StopkaZnak"/>
    <w:uiPriority w:val="99"/>
    <w:unhideWhenUsed/>
    <w:rsid w:val="005C6F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7E"/>
  </w:style>
  <w:style w:type="paragraph" w:styleId="Tekstdymka">
    <w:name w:val="Balloon Text"/>
    <w:basedOn w:val="Normalny"/>
    <w:link w:val="TekstdymkaZnak"/>
    <w:uiPriority w:val="99"/>
    <w:semiHidden/>
    <w:unhideWhenUsed/>
    <w:rsid w:val="00135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D6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7E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7EB"/>
    <w:rPr>
      <w:vertAlign w:val="superscript"/>
    </w:rPr>
  </w:style>
  <w:style w:type="paragraph" w:styleId="Tekstpodstawowy">
    <w:name w:val="Body Text"/>
    <w:basedOn w:val="Normalny"/>
    <w:link w:val="TekstpodstawowyZnak"/>
    <w:rsid w:val="00510AEB"/>
    <w:pPr>
      <w:suppressAutoHyphens w:val="0"/>
      <w:autoSpaceDN/>
      <w:spacing w:line="240" w:lineRule="auto"/>
      <w:ind w:right="-106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0AEB"/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E3967"/>
    <w:pPr>
      <w:suppressAutoHyphens w:val="0"/>
      <w:autoSpaceDN/>
      <w:spacing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E3967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39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3967"/>
    <w:pPr>
      <w:suppressAutoHyphens w:val="0"/>
      <w:autoSpaceDN/>
      <w:spacing w:before="480"/>
      <w:textAlignment w:val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61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610F"/>
  </w:style>
  <w:style w:type="paragraph" w:styleId="Lista2">
    <w:name w:val="List 2"/>
    <w:basedOn w:val="Normalny"/>
    <w:rsid w:val="00C82E5F"/>
    <w:pPr>
      <w:suppressAutoHyphens w:val="0"/>
      <w:autoSpaceDN/>
      <w:spacing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">
    <w:name w:val="Rozdz"/>
    <w:basedOn w:val="Normalny"/>
    <w:autoRedefine/>
    <w:rsid w:val="00D946C9"/>
    <w:pPr>
      <w:suppressAutoHyphens w:val="0"/>
      <w:autoSpaceDN/>
      <w:spacing w:before="120" w:after="240" w:line="240" w:lineRule="auto"/>
      <w:textAlignment w:val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D946C9"/>
    <w:pPr>
      <w:widowControl w:val="0"/>
      <w:suppressAutoHyphens w:val="0"/>
      <w:autoSpaceDN/>
      <w:snapToGrid w:val="0"/>
      <w:spacing w:before="120" w:after="120" w:line="240" w:lineRule="auto"/>
      <w:ind w:left="2520"/>
      <w:textAlignment w:val="auto"/>
    </w:pPr>
    <w:rPr>
      <w:rFonts w:ascii="Book Antiqua" w:eastAsia="Times New Roman" w:hAnsi="Book Antiqua"/>
      <w:sz w:val="20"/>
      <w:szCs w:val="20"/>
      <w:lang w:eastAsia="pl-PL"/>
    </w:rPr>
  </w:style>
  <w:style w:type="paragraph" w:customStyle="1" w:styleId="TableText">
    <w:name w:val="Table Text"/>
    <w:basedOn w:val="Normalny"/>
    <w:rsid w:val="00D946C9"/>
    <w:pPr>
      <w:suppressAutoHyphens w:val="0"/>
      <w:autoSpaceDN/>
      <w:spacing w:before="120" w:after="120" w:line="240" w:lineRule="auto"/>
      <w:textAlignment w:val="auto"/>
    </w:pPr>
    <w:rPr>
      <w:rFonts w:ascii="Times New Roman" w:eastAsia="Times New Roman" w:hAnsi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CC7-6CFF-4BC6-BF48-7FF41BF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Wielanek</dc:creator>
  <cp:keywords/>
  <dc:description/>
  <cp:lastModifiedBy>Irena Kocon</cp:lastModifiedBy>
  <cp:revision>3</cp:revision>
  <cp:lastPrinted>2020-10-26T08:35:00Z</cp:lastPrinted>
  <dcterms:created xsi:type="dcterms:W3CDTF">2022-05-05T13:28:00Z</dcterms:created>
  <dcterms:modified xsi:type="dcterms:W3CDTF">2022-05-05T13:29:00Z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BANK\wieslaw.wielanek;Wiesław Wielanek</vt:lpwstr>
  </property>
</Properties>
</file>