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70eb3a9687a4fc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FF32" w14:textId="20404206" w:rsidR="004C0512" w:rsidRDefault="008A2413">
      <w:r>
        <w:rPr>
          <w:noProof/>
        </w:rPr>
        <w:drawing>
          <wp:inline distT="0" distB="0" distL="0" distR="0" wp14:anchorId="1744B680" wp14:editId="46A61086">
            <wp:extent cx="5760720" cy="2022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E300" w14:textId="77777777" w:rsidR="00C70D9C" w:rsidRDefault="00C70D9C" w:rsidP="00C70D9C">
      <w:pPr>
        <w:pStyle w:val="NormalnyWeb"/>
        <w:shd w:val="clear" w:color="auto" w:fill="FFFFFF"/>
        <w:spacing w:before="0" w:after="0"/>
        <w:rPr>
          <w:color w:val="2C2C2D"/>
        </w:rPr>
      </w:pPr>
      <w:r>
        <w:rPr>
          <w:color w:val="2C2C2D"/>
        </w:rPr>
        <w:t>Szanowni Państwo,</w:t>
      </w:r>
    </w:p>
    <w:p w14:paraId="57E36FF5" w14:textId="77777777" w:rsidR="00FD1971" w:rsidRDefault="00FD1971" w:rsidP="00FD1971">
      <w:pPr>
        <w:pStyle w:val="NormalnyWeb"/>
        <w:shd w:val="clear" w:color="auto" w:fill="FFFFFF"/>
        <w:jc w:val="both"/>
        <w:rPr>
          <w:rStyle w:val="Pogrubienie"/>
          <w:b w:val="0"/>
          <w:bCs w:val="0"/>
          <w:color w:val="2C2C2D"/>
        </w:rPr>
      </w:pPr>
      <w:r>
        <w:rPr>
          <w:color w:val="2C2C2D"/>
        </w:rPr>
        <w:t xml:space="preserve">rozpoczął się proces </w:t>
      </w:r>
      <w:r>
        <w:rPr>
          <w:rStyle w:val="Pogrubienie"/>
          <w:color w:val="C00000"/>
        </w:rPr>
        <w:t>rozliczania i</w:t>
      </w:r>
      <w:r>
        <w:rPr>
          <w:color w:val="2C2C2D"/>
        </w:rPr>
        <w:t xml:space="preserve"> </w:t>
      </w:r>
      <w:r>
        <w:rPr>
          <w:rStyle w:val="Pogrubienie"/>
          <w:color w:val="C00000"/>
        </w:rPr>
        <w:t>umarzania subwencji udzielonych w ramach Tarczy Finansowej PFR 1.0</w:t>
      </w:r>
      <w:r>
        <w:rPr>
          <w:rStyle w:val="Pogrubienie"/>
          <w:b w:val="0"/>
          <w:bCs w:val="0"/>
          <w:color w:val="C00000"/>
        </w:rPr>
        <w:t xml:space="preserve">. </w:t>
      </w:r>
    </w:p>
    <w:p w14:paraId="28473099" w14:textId="77777777" w:rsidR="00C70D9C" w:rsidRPr="00FF1AFE" w:rsidRDefault="00C70D9C" w:rsidP="00C70D9C">
      <w:pPr>
        <w:pStyle w:val="NormalnyWeb"/>
        <w:shd w:val="clear" w:color="auto" w:fill="FFFFFF"/>
        <w:spacing w:before="0" w:after="0"/>
        <w:jc w:val="both"/>
        <w:rPr>
          <w:rStyle w:val="Pogrubienie"/>
          <w:b w:val="0"/>
          <w:bCs w:val="0"/>
          <w:color w:val="2C2C2D"/>
        </w:rPr>
      </w:pPr>
      <w:r>
        <w:rPr>
          <w:rStyle w:val="Pogrubienie"/>
          <w:b w:val="0"/>
          <w:bCs w:val="0"/>
          <w:color w:val="2C2C2D"/>
        </w:rPr>
        <w:t>F</w:t>
      </w:r>
      <w:r w:rsidRPr="00FF1AFE">
        <w:rPr>
          <w:rStyle w:val="Pogrubienie"/>
          <w:b w:val="0"/>
          <w:bCs w:val="0"/>
          <w:color w:val="2C2C2D"/>
        </w:rPr>
        <w:t>irmy, których działalność jest wykonywana w</w:t>
      </w:r>
      <w:r>
        <w:rPr>
          <w:rStyle w:val="Pogrubienie"/>
          <w:b w:val="0"/>
          <w:bCs w:val="0"/>
          <w:color w:val="2C2C2D"/>
        </w:rPr>
        <w:t> </w:t>
      </w:r>
      <w:r w:rsidRPr="00FF1AFE">
        <w:rPr>
          <w:rStyle w:val="Pogrubienie"/>
          <w:b w:val="0"/>
          <w:bCs w:val="0"/>
          <w:color w:val="2C2C2D"/>
        </w:rPr>
        <w:t>jednym lub więcej z 54 kodów PKD będą mogły</w:t>
      </w:r>
      <w:r w:rsidRPr="00497C72">
        <w:rPr>
          <w:rStyle w:val="Pogrubienie"/>
          <w:b w:val="0"/>
          <w:bCs w:val="0"/>
          <w:color w:val="2C2C2D"/>
        </w:rPr>
        <w:t xml:space="preserve"> (po spełnieniu warunków formalnych) </w:t>
      </w:r>
      <w:r w:rsidRPr="00FF1AFE">
        <w:rPr>
          <w:rStyle w:val="Pogrubienie"/>
          <w:b w:val="0"/>
          <w:bCs w:val="0"/>
          <w:color w:val="2C2C2D"/>
        </w:rPr>
        <w:t>skorzystać z</w:t>
      </w:r>
      <w:r>
        <w:rPr>
          <w:rStyle w:val="Pogrubienie"/>
          <w:b w:val="0"/>
          <w:bCs w:val="0"/>
          <w:color w:val="2C2C2D"/>
        </w:rPr>
        <w:t>e</w:t>
      </w:r>
      <w:r w:rsidRPr="00FF1AFE">
        <w:rPr>
          <w:rStyle w:val="Pogrubienie"/>
          <w:b w:val="0"/>
          <w:bCs w:val="0"/>
          <w:color w:val="2C2C2D"/>
        </w:rPr>
        <w:t xml:space="preserve"> </w:t>
      </w:r>
      <w:r w:rsidRPr="004E4E46">
        <w:rPr>
          <w:rStyle w:val="Pogrubienie"/>
          <w:color w:val="C00000"/>
        </w:rPr>
        <w:t>100% umorzenia subwencji</w:t>
      </w:r>
      <w:r w:rsidRPr="00FF1AFE">
        <w:rPr>
          <w:rStyle w:val="Pogrubienie"/>
          <w:b w:val="0"/>
          <w:bCs w:val="0"/>
          <w:color w:val="2C2C2D"/>
        </w:rPr>
        <w:t>.</w:t>
      </w:r>
    </w:p>
    <w:p w14:paraId="4E201EEB" w14:textId="50409B4F" w:rsidR="00C70D9C" w:rsidRDefault="002A6278" w:rsidP="00C70D9C">
      <w:pPr>
        <w:pStyle w:val="NormalnyWeb"/>
        <w:shd w:val="clear" w:color="auto" w:fill="FFFFFF"/>
        <w:spacing w:before="0" w:after="0"/>
        <w:jc w:val="both"/>
        <w:rPr>
          <w:color w:val="2C2C2D"/>
        </w:rPr>
      </w:pPr>
      <w:r>
        <w:rPr>
          <w:color w:val="2C2C2D"/>
        </w:rPr>
        <w:t>S</w:t>
      </w:r>
      <w:r w:rsidR="00C70D9C">
        <w:rPr>
          <w:color w:val="2C2C2D"/>
        </w:rPr>
        <w:t>erdecznie zapraszamy na</w:t>
      </w:r>
      <w:r w:rsidR="00C70D9C">
        <w:rPr>
          <w:rStyle w:val="Pogrubienie"/>
          <w:color w:val="2C2C2D"/>
        </w:rPr>
        <w:t xml:space="preserve"> </w:t>
      </w:r>
      <w:r w:rsidR="00C70D9C" w:rsidRPr="004E4E46">
        <w:rPr>
          <w:rStyle w:val="Pogrubienie"/>
          <w:b w:val="0"/>
          <w:bCs w:val="0"/>
          <w:color w:val="2C2C2D"/>
        </w:rPr>
        <w:t>szkolenie online</w:t>
      </w:r>
      <w:r w:rsidR="00C70D9C" w:rsidRPr="00404E6D">
        <w:rPr>
          <w:rStyle w:val="Pogrubienie"/>
          <w:b w:val="0"/>
          <w:bCs w:val="0"/>
          <w:color w:val="2C2C2D"/>
        </w:rPr>
        <w:t>, na którym</w:t>
      </w:r>
      <w:r w:rsidR="00C70D9C">
        <w:rPr>
          <w:rStyle w:val="Pogrubienie"/>
          <w:color w:val="2C2C2D"/>
        </w:rPr>
        <w:t xml:space="preserve"> </w:t>
      </w:r>
      <w:r w:rsidR="00C70D9C">
        <w:rPr>
          <w:color w:val="2C2C2D"/>
        </w:rPr>
        <w:t xml:space="preserve">eksperci Polskiego Funduszu Rozwoju, w przejrzysty sposób przedstawią </w:t>
      </w:r>
      <w:r w:rsidR="00C70D9C" w:rsidRPr="004E4E46">
        <w:rPr>
          <w:b/>
          <w:bCs/>
          <w:color w:val="C00000"/>
        </w:rPr>
        <w:t>zasady rozliczania, zwrotu i umorzenia</w:t>
      </w:r>
      <w:r w:rsidR="00C70D9C">
        <w:rPr>
          <w:color w:val="2C2C2D"/>
        </w:rPr>
        <w:t xml:space="preserve"> przyznanych subwencji.</w:t>
      </w:r>
    </w:p>
    <w:p w14:paraId="0FAD8A6D" w14:textId="77777777" w:rsidR="00C70D9C" w:rsidRPr="00FE42E2" w:rsidRDefault="00C70D9C" w:rsidP="00C70D9C">
      <w:pPr>
        <w:pStyle w:val="NormalnyWeb"/>
        <w:shd w:val="clear" w:color="auto" w:fill="FFFFFF"/>
        <w:spacing w:before="0" w:after="0"/>
        <w:jc w:val="both"/>
        <w:rPr>
          <w:color w:val="000000" w:themeColor="text1"/>
        </w:rPr>
      </w:pPr>
      <w:r w:rsidRPr="00FE42E2">
        <w:rPr>
          <w:color w:val="000000" w:themeColor="text1"/>
        </w:rPr>
        <w:t>Podczas szkolenia omówimy m.in.:</w:t>
      </w:r>
    </w:p>
    <w:p w14:paraId="0FA43E68" w14:textId="77777777" w:rsidR="00C70D9C" w:rsidRDefault="00C70D9C" w:rsidP="00C70D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 w:rsidRPr="00FE42E2">
        <w:rPr>
          <w:b/>
          <w:bCs/>
          <w:color w:val="C00000"/>
        </w:rPr>
        <w:t>Etapy i terminy rozliczania subwencji</w:t>
      </w:r>
      <w:r>
        <w:rPr>
          <w:color w:val="2C2C2D"/>
        </w:rPr>
        <w:t>:</w:t>
      </w:r>
    </w:p>
    <w:p w14:paraId="2AFAE836" w14:textId="77777777" w:rsidR="000C57AF" w:rsidRPr="000C57AF" w:rsidRDefault="00C70D9C" w:rsidP="00C70D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u</w:t>
      </w:r>
      <w:r w:rsidR="00511F40" w:rsidRPr="000C57AF">
        <w:rPr>
          <w:color w:val="2C2C2D"/>
        </w:rPr>
        <w:t>dostępnienie propozycji rozliczenia</w:t>
      </w:r>
    </w:p>
    <w:p w14:paraId="76AB1D94" w14:textId="77777777" w:rsidR="000C57AF" w:rsidRPr="000C57AF" w:rsidRDefault="00C70D9C" w:rsidP="00C70D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z</w:t>
      </w:r>
      <w:r w:rsidR="00511F40" w:rsidRPr="000C57AF">
        <w:rPr>
          <w:color w:val="2C2C2D"/>
        </w:rPr>
        <w:t>łożenia oświadczenia o rozliczeniu</w:t>
      </w:r>
      <w:r>
        <w:rPr>
          <w:color w:val="2C2C2D"/>
        </w:rPr>
        <w:t xml:space="preserve"> (za pośrednictwem bankowości elektronicznej)</w:t>
      </w:r>
    </w:p>
    <w:p w14:paraId="1D9ABF4A" w14:textId="77777777" w:rsidR="000C57AF" w:rsidRPr="000C57AF" w:rsidRDefault="00C70D9C" w:rsidP="00C70D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w</w:t>
      </w:r>
      <w:r w:rsidR="00511F40" w:rsidRPr="000C57AF">
        <w:rPr>
          <w:color w:val="2C2C2D"/>
        </w:rPr>
        <w:t>ydanie decyzji</w:t>
      </w:r>
    </w:p>
    <w:p w14:paraId="54A92B8F" w14:textId="6CF538CA" w:rsidR="00C70D9C" w:rsidRDefault="00C70D9C" w:rsidP="00C70D9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h</w:t>
      </w:r>
      <w:r w:rsidR="00511F40" w:rsidRPr="000C57AF">
        <w:rPr>
          <w:color w:val="2C2C2D"/>
        </w:rPr>
        <w:t>armonogram spłat</w:t>
      </w:r>
    </w:p>
    <w:p w14:paraId="16909545" w14:textId="77777777" w:rsidR="00C70D9C" w:rsidRPr="000C57AF" w:rsidRDefault="00C70D9C" w:rsidP="00C70D9C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2C2C2D"/>
        </w:rPr>
      </w:pPr>
    </w:p>
    <w:p w14:paraId="78F8F732" w14:textId="77777777" w:rsidR="00C70D9C" w:rsidRDefault="00C70D9C" w:rsidP="00C70D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 w:rsidRPr="00FE42E2">
        <w:rPr>
          <w:b/>
          <w:bCs/>
          <w:color w:val="C00000"/>
        </w:rPr>
        <w:t>Zasady umorzenia subwencji</w:t>
      </w:r>
      <w:r>
        <w:rPr>
          <w:color w:val="2C2C2D"/>
        </w:rPr>
        <w:t>:</w:t>
      </w:r>
    </w:p>
    <w:p w14:paraId="023028BD" w14:textId="46569A64" w:rsidR="00C70D9C" w:rsidRDefault="00C70D9C" w:rsidP="00C70D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ustalanie stanu zatrudnienia</w:t>
      </w:r>
    </w:p>
    <w:p w14:paraId="036DCAF2" w14:textId="3E60B7B4" w:rsidR="00C70D9C" w:rsidRDefault="00C70D9C" w:rsidP="00C70D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strata gotówkowa na sprzedaży</w:t>
      </w:r>
      <w:r w:rsidR="00130F5C">
        <w:rPr>
          <w:color w:val="2C2C2D"/>
        </w:rPr>
        <w:t xml:space="preserve"> (dot. wyłącznie MŚP)</w:t>
      </w:r>
    </w:p>
    <w:p w14:paraId="0C97799C" w14:textId="77777777" w:rsidR="00C70D9C" w:rsidRDefault="00C70D9C" w:rsidP="00C70D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utrzymanie działalności gospodarczej</w:t>
      </w:r>
    </w:p>
    <w:p w14:paraId="2A2109D3" w14:textId="77777777" w:rsidR="00C70D9C" w:rsidRDefault="00C70D9C" w:rsidP="00C70D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przykładowe wyliczenie kwoty subwencji do zwrotu</w:t>
      </w:r>
    </w:p>
    <w:p w14:paraId="5082BE4E" w14:textId="72800905" w:rsidR="00C70D9C" w:rsidRDefault="00C70D9C" w:rsidP="00C70D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>zasady zwrotu subwencji</w:t>
      </w:r>
    </w:p>
    <w:p w14:paraId="34E6FF8D" w14:textId="3EA8B906" w:rsidR="00C70D9C" w:rsidRDefault="00C70D9C" w:rsidP="00C70D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bookmarkStart w:id="0" w:name="_Hlk68862983"/>
      <w:r>
        <w:rPr>
          <w:color w:val="2C2C2D"/>
        </w:rPr>
        <w:t>wcześniejsza spłata subwencji lub spłata po terminie</w:t>
      </w:r>
    </w:p>
    <w:bookmarkEnd w:id="0"/>
    <w:p w14:paraId="69CEEE33" w14:textId="77777777" w:rsidR="00C70D9C" w:rsidRDefault="00C70D9C" w:rsidP="00C70D9C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2C2C2D"/>
        </w:rPr>
      </w:pPr>
    </w:p>
    <w:p w14:paraId="42CB9F0C" w14:textId="77777777" w:rsidR="00C70D9C" w:rsidRDefault="00C70D9C" w:rsidP="00C70D9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 w:rsidRPr="00FE42E2">
        <w:rPr>
          <w:b/>
          <w:bCs/>
          <w:color w:val="C00000"/>
        </w:rPr>
        <w:t>Warunki umorzenia subwencji w 100%</w:t>
      </w:r>
      <w:r>
        <w:rPr>
          <w:color w:val="2C2C2D"/>
        </w:rPr>
        <w:t>:</w:t>
      </w:r>
    </w:p>
    <w:p w14:paraId="52762422" w14:textId="77777777" w:rsidR="00892D7D" w:rsidRDefault="00892D7D" w:rsidP="00C70D9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C2D"/>
        </w:rPr>
      </w:pPr>
      <w:r>
        <w:rPr>
          <w:color w:val="2C2C2D"/>
        </w:rPr>
        <w:t xml:space="preserve">kody PKD, które uprawniają do skorzystania z całkowitego umorzenia subwencji </w:t>
      </w:r>
    </w:p>
    <w:p w14:paraId="6AFFFB64" w14:textId="77777777" w:rsidR="00892D7D" w:rsidRDefault="00892D7D" w:rsidP="00892D7D">
      <w:pPr>
        <w:pStyle w:val="NormalnyWeb"/>
        <w:numPr>
          <w:ilvl w:val="0"/>
          <w:numId w:val="3"/>
        </w:numPr>
        <w:shd w:val="clear" w:color="auto" w:fill="FFFFFF"/>
        <w:spacing w:after="0" w:afterAutospacing="0"/>
        <w:ind w:hanging="357"/>
        <w:jc w:val="both"/>
        <w:rPr>
          <w:color w:val="2C2C2D"/>
        </w:rPr>
      </w:pPr>
      <w:r>
        <w:rPr>
          <w:color w:val="2C2C2D"/>
        </w:rPr>
        <w:t>wymagany spadek przychodów</w:t>
      </w:r>
    </w:p>
    <w:p w14:paraId="6C5D730B" w14:textId="77777777" w:rsidR="00C70D9C" w:rsidRPr="00151211" w:rsidRDefault="00C70D9C" w:rsidP="00C70D9C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2C2C2D"/>
        </w:rPr>
      </w:pPr>
    </w:p>
    <w:p w14:paraId="6BDF088E" w14:textId="77777777" w:rsidR="00892D7D" w:rsidRDefault="00892D7D" w:rsidP="00892D7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</w:pPr>
      <w:r>
        <w:rPr>
          <w:b/>
          <w:bCs/>
          <w:color w:val="C00000"/>
        </w:rPr>
        <w:t xml:space="preserve">Sytuacje, w których subwencja podlega </w:t>
      </w:r>
      <w:r w:rsidRPr="00FE42E2">
        <w:rPr>
          <w:b/>
          <w:bCs/>
          <w:color w:val="C00000"/>
        </w:rPr>
        <w:t xml:space="preserve">zwrotowi w </w:t>
      </w:r>
      <w:r>
        <w:rPr>
          <w:b/>
          <w:bCs/>
          <w:color w:val="C00000"/>
        </w:rPr>
        <w:t>całości.</w:t>
      </w:r>
    </w:p>
    <w:p w14:paraId="6658243F" w14:textId="77777777" w:rsidR="00892D7D" w:rsidRPr="00366243" w:rsidRDefault="00892D7D" w:rsidP="00892D7D">
      <w:pPr>
        <w:pStyle w:val="NormalnyWeb"/>
        <w:numPr>
          <w:ilvl w:val="0"/>
          <w:numId w:val="1"/>
        </w:numPr>
        <w:shd w:val="clear" w:color="auto" w:fill="FFFFFF"/>
        <w:spacing w:after="0" w:afterAutospacing="0" w:line="360" w:lineRule="auto"/>
        <w:ind w:hanging="357"/>
        <w:jc w:val="both"/>
        <w:rPr>
          <w:color w:val="2C2C2D"/>
        </w:rPr>
      </w:pPr>
      <w:r>
        <w:rPr>
          <w:b/>
          <w:bCs/>
          <w:color w:val="C00000"/>
        </w:rPr>
        <w:t>P</w:t>
      </w:r>
      <w:r w:rsidRPr="00366243">
        <w:rPr>
          <w:b/>
          <w:bCs/>
          <w:color w:val="C00000"/>
        </w:rPr>
        <w:t>ostępowanie</w:t>
      </w:r>
      <w:r>
        <w:rPr>
          <w:color w:val="2C2C2D"/>
        </w:rPr>
        <w:t xml:space="preserve"> </w:t>
      </w:r>
      <w:r w:rsidRPr="00366243">
        <w:rPr>
          <w:b/>
          <w:bCs/>
          <w:color w:val="C00000"/>
        </w:rPr>
        <w:t>wyjaśniające</w:t>
      </w:r>
      <w:bookmarkStart w:id="1" w:name="_Hlk68860128"/>
      <w:r>
        <w:rPr>
          <w:b/>
          <w:bCs/>
          <w:color w:val="C00000"/>
        </w:rPr>
        <w:t>.</w:t>
      </w:r>
    </w:p>
    <w:p w14:paraId="5E737E0B" w14:textId="77777777" w:rsidR="00892D7D" w:rsidRDefault="00892D7D" w:rsidP="00892D7D">
      <w:pPr>
        <w:pStyle w:val="NormalnyWeb"/>
        <w:numPr>
          <w:ilvl w:val="0"/>
          <w:numId w:val="1"/>
        </w:numPr>
        <w:shd w:val="clear" w:color="auto" w:fill="FFFFFF"/>
        <w:spacing w:line="360" w:lineRule="auto"/>
        <w:ind w:left="363" w:hanging="357"/>
        <w:jc w:val="both"/>
      </w:pPr>
      <w:r>
        <w:rPr>
          <w:b/>
          <w:bCs/>
          <w:color w:val="C00000"/>
        </w:rPr>
        <w:t xml:space="preserve">Sesja pytań i odpowiedzi </w:t>
      </w:r>
      <w:r>
        <w:t>– zadaj pytanie ekspertowi i uzyskaj odpowiedź.</w:t>
      </w:r>
      <w:bookmarkEnd w:id="1"/>
    </w:p>
    <w:p w14:paraId="7DF86F34" w14:textId="77777777" w:rsidR="00C70D9C" w:rsidRDefault="00C70D9C"/>
    <w:sectPr w:rsidR="00C70D9C" w:rsidSect="00A77AD0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213"/>
    <w:multiLevelType w:val="hybridMultilevel"/>
    <w:tmpl w:val="75F6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1D43"/>
    <w:multiLevelType w:val="hybridMultilevel"/>
    <w:tmpl w:val="DE7498F6"/>
    <w:lvl w:ilvl="0" w:tplc="AF560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D0900"/>
    <w:multiLevelType w:val="hybridMultilevel"/>
    <w:tmpl w:val="DE7498F6"/>
    <w:lvl w:ilvl="0" w:tplc="AF560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2648A"/>
    <w:multiLevelType w:val="hybridMultilevel"/>
    <w:tmpl w:val="970C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C"/>
    <w:rsid w:val="0008790E"/>
    <w:rsid w:val="00130F5C"/>
    <w:rsid w:val="002A6278"/>
    <w:rsid w:val="004C0512"/>
    <w:rsid w:val="00511F40"/>
    <w:rsid w:val="00892D7D"/>
    <w:rsid w:val="008A2413"/>
    <w:rsid w:val="00A77AD0"/>
    <w:rsid w:val="00C148E0"/>
    <w:rsid w:val="00C70D9C"/>
    <w:rsid w:val="00D603DA"/>
    <w:rsid w:val="00F46778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16B1"/>
  <w15:chartTrackingRefBased/>
  <w15:docId w15:val="{580B0D62-F63E-4A7E-AE1F-8F0773F3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0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2021-04-19T10:40:00Z</dcterms:created>
  <dcterms:modified xsi:type="dcterms:W3CDTF">2021-04-26T06:51:00Z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PSKATEGORIA">
    <vt:lpwstr xmlns:vt="http://schemas.openxmlformats.org/officeDocument/2006/docPropsVTypes">Ogolnodostepny</vt:lpwstr>
  </op:property>
  <op:property fmtid="{D5CDD505-2E9C-101B-9397-08002B2CF9AE}" pid="3" name="BPSClassifiedBy">
    <vt:lpwstr xmlns:vt="http://schemas.openxmlformats.org/officeDocument/2006/docPropsVTypes">BANK\Agnieszka.Chrobot;Agnieszka Chrobot-Barbrich</vt:lpwstr>
  </op:property>
  <op:property fmtid="{D5CDD505-2E9C-101B-9397-08002B2CF9AE}" pid="4" name="BPSClassificationDate">
    <vt:lpwstr xmlns:vt="http://schemas.openxmlformats.org/officeDocument/2006/docPropsVTypes">2021-05-12T12:26:59.1227727+02:00</vt:lpwstr>
  </op:property>
  <op:property fmtid="{D5CDD505-2E9C-101B-9397-08002B2CF9AE}" pid="5" name="BPSClassifiedBySID">
    <vt:lpwstr xmlns:vt="http://schemas.openxmlformats.org/officeDocument/2006/docPropsVTypes">BANK\S-1-5-21-2235066060-4034229115-1914166231-32514</vt:lpwstr>
  </op:property>
  <op:property fmtid="{D5CDD505-2E9C-101B-9397-08002B2CF9AE}" pid="6" name="BPSGRNItemId">
    <vt:lpwstr xmlns:vt="http://schemas.openxmlformats.org/officeDocument/2006/docPropsVTypes">GRN-dd08c293-c17b-4897-b4a6-23605f086b3f</vt:lpwstr>
  </op:property>
  <op:property fmtid="{D5CDD505-2E9C-101B-9397-08002B2CF9AE}" pid="7" name="BPSRefresh">
    <vt:lpwstr xmlns:vt="http://schemas.openxmlformats.org/officeDocument/2006/docPropsVTypes">True</vt:lpwstr>
  </op:property>
  <op:property fmtid="{D5CDD505-2E9C-101B-9397-08002B2CF9AE}" pid="8" name="BPSHash">
    <vt:lpwstr xmlns:vt="http://schemas.openxmlformats.org/officeDocument/2006/docPropsVTypes">SHHGKQ6YVnMQ1DCk9DH1PdP3MRCzt543U+K5BGjE5Lo=</vt:lpwstr>
  </op:property>
</op:Properties>
</file>